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rFonts w:hint="default" w:eastAsia="宋体"/>
                <w:sz w:val="24"/>
                <w:szCs w:val="24"/>
                <w:lang w:val="en-US" w:eastAsia="zh-CN"/>
              </w:rPr>
            </w:pPr>
            <w:r>
              <w:rPr>
                <w:rFonts w:hint="eastAsia"/>
                <w:sz w:val="24"/>
                <w:szCs w:val="24"/>
              </w:rPr>
              <w:t>受审核部门：综合部（含财务）    主管领导：毕永红   陪同人员：</w:t>
            </w:r>
            <w:r>
              <w:rPr>
                <w:rFonts w:hint="eastAsia"/>
                <w:sz w:val="24"/>
                <w:szCs w:val="24"/>
                <w:lang w:val="en-US" w:eastAsia="zh-CN"/>
              </w:rPr>
              <w:t>贾晓东</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val="en-US" w:eastAsia="zh-CN"/>
              </w:rPr>
              <w:t>强兴</w:t>
            </w:r>
            <w:r>
              <w:rPr>
                <w:rFonts w:hint="eastAsia"/>
                <w:sz w:val="24"/>
                <w:szCs w:val="24"/>
              </w:rPr>
              <w:t xml:space="preserve">   审核时间：202</w:t>
            </w:r>
            <w:r>
              <w:rPr>
                <w:rFonts w:hint="eastAsia"/>
                <w:sz w:val="24"/>
                <w:szCs w:val="24"/>
                <w:lang w:val="en-US" w:eastAsia="zh-CN"/>
              </w:rPr>
              <w:t>1</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szCs w:val="22"/>
              </w:rPr>
            </w:pPr>
            <w:r>
              <w:rPr>
                <w:rFonts w:hint="eastAsia"/>
                <w:sz w:val="24"/>
                <w:szCs w:val="24"/>
              </w:rPr>
              <w:t>审核条款：</w:t>
            </w:r>
            <w:r>
              <w:rPr>
                <w:szCs w:val="22"/>
              </w:rPr>
              <w:t>Q5.3/</w:t>
            </w:r>
            <w:r>
              <w:rPr>
                <w:rFonts w:hint="eastAsia"/>
                <w:szCs w:val="22"/>
              </w:rPr>
              <w:t>6.1/6.2/</w:t>
            </w:r>
            <w:r>
              <w:rPr>
                <w:szCs w:val="22"/>
              </w:rPr>
              <w:t>7.1.2/7.1.6</w:t>
            </w:r>
            <w:r>
              <w:rPr>
                <w:rFonts w:hint="eastAsia"/>
                <w:szCs w:val="22"/>
              </w:rPr>
              <w:t>/</w:t>
            </w:r>
            <w:r>
              <w:rPr>
                <w:szCs w:val="22"/>
              </w:rPr>
              <w:t>7.2/</w:t>
            </w:r>
            <w:r>
              <w:rPr>
                <w:rFonts w:hint="eastAsia"/>
                <w:szCs w:val="22"/>
              </w:rPr>
              <w:t>7.3/7.4/7.5/</w:t>
            </w:r>
            <w:r>
              <w:rPr>
                <w:szCs w:val="22"/>
              </w:rPr>
              <w:t>9.2</w:t>
            </w:r>
            <w:r>
              <w:rPr>
                <w:rFonts w:hint="eastAsia"/>
                <w:szCs w:val="22"/>
              </w:rPr>
              <w:t>；</w:t>
            </w:r>
          </w:p>
          <w:p>
            <w:pPr>
              <w:pStyle w:val="2"/>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lang w:eastAsia="zh-CN"/>
              </w:rPr>
              <w:t>Q</w:t>
            </w:r>
            <w:r>
              <w:rPr>
                <w:rFonts w:hint="eastAsia"/>
                <w:szCs w:val="21"/>
              </w:rPr>
              <w:t>5.3</w:t>
            </w:r>
          </w:p>
          <w:p>
            <w:pPr>
              <w:pStyle w:val="12"/>
            </w:pPr>
          </w:p>
        </w:tc>
        <w:tc>
          <w:tcPr>
            <w:tcW w:w="10694" w:type="dxa"/>
            <w:vAlign w:val="center"/>
          </w:tcPr>
          <w:p>
            <w:pPr>
              <w:ind w:firstLine="420" w:firstLineChars="200"/>
            </w:pPr>
            <w:r>
              <w:rPr>
                <w:rFonts w:hint="eastAsia"/>
              </w:rPr>
              <w:t>部门负责人：毕永红</w:t>
            </w:r>
          </w:p>
          <w:p>
            <w:pPr>
              <w:ind w:firstLine="420" w:firstLineChars="200"/>
            </w:pPr>
            <w:r>
              <w:rPr>
                <w:rFonts w:hint="eastAsia"/>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ind w:firstLine="420" w:firstLineChars="200"/>
            </w:pPr>
            <w:r>
              <w:rPr>
                <w:rFonts w:hint="eastAsia"/>
              </w:rPr>
              <w:t>以确保</w:t>
            </w:r>
            <w:r>
              <w:rPr>
                <w:rFonts w:hint="eastAsia"/>
                <w:lang w:eastAsia="zh-CN"/>
              </w:rPr>
              <w:t>质量</w:t>
            </w:r>
            <w:r>
              <w:rPr>
                <w:rFonts w:hint="eastAsia"/>
              </w:rPr>
              <w:t>管理体系符合本标准的要求；</w:t>
            </w:r>
          </w:p>
          <w:p>
            <w:pPr>
              <w:ind w:firstLine="420" w:firstLineChars="200"/>
            </w:pPr>
            <w:r>
              <w:rPr>
                <w:rFonts w:hint="eastAsia"/>
              </w:rPr>
              <w:t>确保各过程获得其预期输出；</w:t>
            </w:r>
          </w:p>
          <w:p>
            <w:pPr>
              <w:ind w:firstLine="420" w:firstLineChars="200"/>
            </w:pPr>
            <w:r>
              <w:rPr>
                <w:rFonts w:hint="eastAsia"/>
              </w:rPr>
              <w:t>报告</w:t>
            </w:r>
            <w:r>
              <w:rPr>
                <w:rFonts w:hint="eastAsia"/>
                <w:lang w:eastAsia="zh-CN"/>
              </w:rPr>
              <w:t>质量</w:t>
            </w:r>
            <w:r>
              <w:rPr>
                <w:rFonts w:hint="eastAsia"/>
              </w:rPr>
              <w:t>管理体系绩效及其改进机遇（见 10.1），须向最高管理者报告；</w:t>
            </w:r>
          </w:p>
          <w:p>
            <w:pPr>
              <w:ind w:firstLine="420" w:firstLineChars="200"/>
            </w:pPr>
            <w:r>
              <w:rPr>
                <w:rFonts w:hint="eastAsia"/>
              </w:rPr>
              <w:t>确保在整个组织推动以顾客为关注焦点；</w:t>
            </w:r>
          </w:p>
          <w:p>
            <w:pPr>
              <w:ind w:firstLine="420" w:firstLineChars="200"/>
            </w:pPr>
            <w:r>
              <w:rPr>
                <w:rFonts w:hint="eastAsia"/>
              </w:rPr>
              <w:t>确保在策划和实施</w:t>
            </w:r>
            <w:r>
              <w:rPr>
                <w:rFonts w:hint="eastAsia"/>
                <w:lang w:eastAsia="zh-CN"/>
              </w:rPr>
              <w:t>质量</w:t>
            </w:r>
            <w:r>
              <w:rPr>
                <w:rFonts w:hint="eastAsia"/>
              </w:rPr>
              <w:t>管理体系变更时，保持其完整性。</w:t>
            </w:r>
          </w:p>
          <w:p>
            <w:pPr>
              <w:ind w:firstLine="420" w:firstLineChars="200"/>
            </w:pPr>
            <w:r>
              <w:rPr>
                <w:rFonts w:hint="eastAsia"/>
              </w:rPr>
              <w:t>综合部部门经理职责：主持综合部经理工作；</w:t>
            </w:r>
          </w:p>
          <w:p>
            <w:pPr>
              <w:ind w:firstLine="420" w:firstLineChars="200"/>
            </w:pPr>
            <w:r>
              <w:rPr>
                <w:rFonts w:hint="eastAsia"/>
              </w:rPr>
              <w:t>协助管理者代表组建公司的 环境/职业健康安全管理体系，并协助维持体系的运行和持续改进；</w:t>
            </w:r>
          </w:p>
          <w:p>
            <w:pPr>
              <w:ind w:firstLine="420" w:firstLineChars="200"/>
            </w:pPr>
            <w:r>
              <w:rPr>
                <w:rFonts w:hint="eastAsia"/>
              </w:rPr>
              <w:t>公司行政会议的记录、催办、落实；</w:t>
            </w:r>
          </w:p>
          <w:p>
            <w:pPr>
              <w:ind w:firstLine="420" w:firstLineChars="200"/>
            </w:pPr>
            <w:r>
              <w:rPr>
                <w:rFonts w:hint="eastAsia"/>
              </w:rPr>
              <w:t>公司合同、营业证照、税务登记证及所获得的各种证书的管理；</w:t>
            </w:r>
          </w:p>
          <w:p>
            <w:pPr>
              <w:ind w:firstLine="420" w:firstLineChars="200"/>
            </w:pPr>
            <w:r>
              <w:rPr>
                <w:rFonts w:hint="eastAsia"/>
              </w:rPr>
              <w:t>负责公司各种资质及公司产品认证的申报；</w:t>
            </w:r>
          </w:p>
          <w:p>
            <w:pPr>
              <w:ind w:firstLine="420" w:firstLineChars="200"/>
            </w:pPr>
            <w:r>
              <w:rPr>
                <w:rFonts w:hint="eastAsia"/>
              </w:rPr>
              <w:t>负责公司的采购，库存管理，收、发货工作。</w:t>
            </w:r>
          </w:p>
          <w:p>
            <w:pPr>
              <w:ind w:firstLine="420" w:firstLineChars="200"/>
            </w:pPr>
            <w:r>
              <w:rPr>
                <w:rFonts w:hint="eastAsia"/>
              </w:rPr>
              <w:t>合格供方的评定工作</w:t>
            </w:r>
          </w:p>
          <w:p>
            <w:pPr>
              <w:ind w:firstLine="420" w:firstLineChars="200"/>
            </w:pPr>
            <w:r>
              <w:rPr>
                <w:rFonts w:hint="eastAsia"/>
              </w:rPr>
              <w:t>负责本部门环境因素、危险源的识别和评价，并确定重要环境因素、危险源，报综合部审批</w:t>
            </w:r>
          </w:p>
          <w:p>
            <w:pPr>
              <w:ind w:firstLine="420" w:firstLineChars="200"/>
            </w:pPr>
            <w:r>
              <w:rPr>
                <w:rFonts w:hint="eastAsia"/>
              </w:rPr>
              <w:t>贯彻落实GB/T19001-2008标准，作好质量管理体系的执行工作；</w:t>
            </w:r>
          </w:p>
          <w:p>
            <w:pPr>
              <w:ind w:firstLine="630" w:firstLineChars="3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hAnsi="宋体" w:cs="宋体"/>
                <w:szCs w:val="21"/>
              </w:rPr>
            </w:pPr>
          </w:p>
          <w:p>
            <w:pPr>
              <w:spacing w:line="280" w:lineRule="exact"/>
            </w:pPr>
          </w:p>
        </w:tc>
        <w:tc>
          <w:tcPr>
            <w:tcW w:w="10694" w:type="dxa"/>
            <w:vAlign w:val="center"/>
          </w:tcPr>
          <w:p>
            <w:r>
              <w:rPr>
                <w:rFonts w:hint="eastAsia"/>
              </w:rPr>
              <w:t>企业识别了如下分析：</w:t>
            </w:r>
          </w:p>
          <w:p>
            <w:r>
              <w:rPr>
                <w:rFonts w:hint="eastAsia"/>
              </w:rPr>
              <w:t>1、政策风险：公司属于销售行业，主要客户为各企事业单位，及个体经营者、厂区，有产业和政策调整的风险较小。但为了防止未来有可能发生改变的政策，企业拟在其它类型的工作业务扩大做准备。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Pr>
              <w:rPr>
                <w:rFonts w:hint="eastAsia" w:eastAsia="宋体"/>
                <w:lang w:val="en-US" w:eastAsia="zh-CN"/>
              </w:rPr>
            </w:pPr>
          </w:p>
          <w:p>
            <w:r>
              <w:rPr>
                <w:rFonts w:hint="eastAsia"/>
              </w:rPr>
              <w:t>风险评估结论：对于以上涉及到的主要风险，一旦发生，均可能对公司的发展造成巨大损失，所以我们应时刻监视并评价相关环境因素，尽可能的规避风险或降低发生概率。</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Q</w:t>
            </w:r>
            <w:r>
              <w:rPr>
                <w:rFonts w:hint="eastAsia" w:asciiTheme="minorEastAsia" w:hAnsiTheme="minorEastAsia" w:eastAsiaTheme="minorEastAsia" w:cstheme="minorEastAsia"/>
                <w:szCs w:val="21"/>
              </w:rPr>
              <w:t>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ind w:firstLine="420" w:firstLineChars="200"/>
            </w:pPr>
            <w:r>
              <w:rPr>
                <w:rFonts w:hint="eastAsia"/>
              </w:rPr>
              <w:t>公司对管理体系所需的相关职能、层次和过程设定管理目标。</w:t>
            </w:r>
          </w:p>
          <w:p>
            <w:pPr>
              <w:spacing w:line="460" w:lineRule="exact"/>
              <w:jc w:val="left"/>
              <w:rPr>
                <w:rFonts w:ascii="宋体" w:hAnsi="宋体"/>
                <w:b/>
                <w:bCs/>
                <w:color w:val="000000"/>
                <w:sz w:val="24"/>
              </w:rPr>
            </w:pPr>
            <w:r>
              <w:rPr>
                <w:rFonts w:hint="eastAsia" w:ascii="宋体" w:hAnsi="宋体"/>
                <w:b/>
                <w:bCs/>
                <w:color w:val="000000"/>
                <w:sz w:val="24"/>
              </w:rPr>
              <w:t>公司总目标：</w:t>
            </w:r>
          </w:p>
          <w:p>
            <w:pPr>
              <w:ind w:firstLine="1260" w:firstLineChars="600"/>
              <w:rPr>
                <w:rFonts w:hAnsi="宋体" w:cs="宋体"/>
                <w:kern w:val="0"/>
              </w:rPr>
            </w:pPr>
            <w:r>
              <w:rPr>
                <w:rFonts w:hint="eastAsia" w:hAnsi="宋体" w:cs="宋体"/>
                <w:kern w:val="0"/>
              </w:rPr>
              <w:t>1）销售产品合格率</w:t>
            </w:r>
            <w:r>
              <w:rPr>
                <w:rFonts w:hint="eastAsia" w:hAnsi="宋体" w:cs="宋体"/>
                <w:kern w:val="0"/>
                <w:lang w:val="en-US" w:eastAsia="zh-CN"/>
              </w:rPr>
              <w:t>100</w:t>
            </w:r>
            <w:r>
              <w:rPr>
                <w:rFonts w:hint="eastAsia" w:hAnsi="宋体" w:cs="宋体"/>
                <w:kern w:val="0"/>
              </w:rPr>
              <w:t>%；</w:t>
            </w:r>
          </w:p>
          <w:p>
            <w:pPr>
              <w:ind w:firstLine="1260" w:firstLineChars="600"/>
              <w:rPr>
                <w:rFonts w:hAnsi="宋体" w:cs="宋体"/>
                <w:kern w:val="0"/>
              </w:rPr>
            </w:pPr>
            <w:r>
              <w:rPr>
                <w:rFonts w:hint="eastAsia" w:hAnsi="宋体" w:cs="宋体"/>
                <w:kern w:val="0"/>
              </w:rPr>
              <w:t>2）产品交付及时率98%；</w:t>
            </w:r>
          </w:p>
          <w:p>
            <w:pPr>
              <w:ind w:firstLine="1260" w:firstLineChars="600"/>
              <w:rPr>
                <w:rFonts w:hAnsi="宋体" w:cs="宋体"/>
                <w:kern w:val="0"/>
              </w:rPr>
            </w:pPr>
            <w:r>
              <w:rPr>
                <w:rFonts w:hint="eastAsia" w:hAnsi="宋体" w:cs="宋体"/>
                <w:kern w:val="0"/>
              </w:rPr>
              <w:t>3）合同评审率100%；</w:t>
            </w:r>
          </w:p>
          <w:p>
            <w:pPr>
              <w:autoSpaceDE w:val="0"/>
              <w:autoSpaceDN w:val="0"/>
              <w:adjustRightInd w:val="0"/>
              <w:ind w:firstLine="1260" w:firstLineChars="600"/>
              <w:rPr>
                <w:rFonts w:hAnsi="宋体" w:cs="宋体"/>
                <w:kern w:val="0"/>
              </w:rPr>
            </w:pPr>
            <w:r>
              <w:rPr>
                <w:rFonts w:hint="eastAsia" w:hAnsi="宋体" w:cs="宋体"/>
                <w:kern w:val="0"/>
              </w:rPr>
              <w:t>4）顾客满意率98%以上</w:t>
            </w:r>
          </w:p>
          <w:p>
            <w:pPr>
              <w:spacing w:line="280" w:lineRule="exact"/>
              <w:ind w:firstLine="420" w:firstLineChars="200"/>
            </w:pPr>
            <w:r>
              <w:rPr>
                <w:rFonts w:hint="eastAsia"/>
              </w:rPr>
              <w:t>目标可测量，与公司管理方针一致。</w:t>
            </w:r>
          </w:p>
          <w:p>
            <w:pPr>
              <w:autoSpaceDE w:val="0"/>
              <w:autoSpaceDN w:val="0"/>
              <w:adjustRightInd w:val="0"/>
              <w:ind w:firstLine="420" w:firstLineChars="200"/>
              <w:rPr>
                <w:rFonts w:hAnsi="宋体" w:cs="宋体"/>
                <w:kern w:val="0"/>
              </w:rPr>
            </w:pPr>
            <w:r>
              <w:rPr>
                <w:rFonts w:hint="eastAsia" w:hAnsi="宋体" w:cs="宋体"/>
                <w:kern w:val="0"/>
              </w:rPr>
              <w:t>综合部的目标分解为：</w:t>
            </w:r>
          </w:p>
          <w:p>
            <w:pPr>
              <w:autoSpaceDE w:val="0"/>
              <w:autoSpaceDN w:val="0"/>
              <w:adjustRightInd w:val="0"/>
              <w:ind w:firstLine="1260" w:firstLineChars="600"/>
              <w:rPr>
                <w:rFonts w:hAnsi="宋体" w:cs="宋体"/>
                <w:kern w:val="0"/>
              </w:rPr>
            </w:pPr>
            <w:r>
              <w:rPr>
                <w:rFonts w:hint="eastAsia" w:hAnsi="宋体" w:cs="宋体"/>
                <w:kern w:val="0"/>
              </w:rPr>
              <w:t>1、 采购产品合格率100%</w:t>
            </w:r>
          </w:p>
          <w:p>
            <w:pPr>
              <w:autoSpaceDE w:val="0"/>
              <w:autoSpaceDN w:val="0"/>
              <w:adjustRightInd w:val="0"/>
              <w:ind w:firstLine="1260" w:firstLineChars="600"/>
              <w:rPr>
                <w:rFonts w:hAnsi="宋体" w:cs="宋体"/>
                <w:kern w:val="0"/>
              </w:rPr>
            </w:pPr>
            <w:r>
              <w:rPr>
                <w:rFonts w:hint="eastAsia" w:hAnsi="宋体" w:cs="宋体"/>
                <w:kern w:val="0"/>
              </w:rPr>
              <w:t>2、员工培训按时完成率100%。</w:t>
            </w:r>
          </w:p>
          <w:p>
            <w:pPr>
              <w:autoSpaceDE w:val="0"/>
              <w:autoSpaceDN w:val="0"/>
              <w:adjustRightInd w:val="0"/>
              <w:ind w:firstLine="1260" w:firstLineChars="600"/>
              <w:rPr>
                <w:rFonts w:hAnsi="宋体" w:cs="宋体"/>
                <w:kern w:val="0"/>
              </w:rPr>
            </w:pPr>
            <w:r>
              <w:rPr>
                <w:rFonts w:hint="eastAsia" w:hAnsi="宋体" w:cs="宋体"/>
                <w:kern w:val="0"/>
              </w:rPr>
              <w:t>3、顾客满意率96%以上。</w:t>
            </w:r>
          </w:p>
          <w:p>
            <w:pPr>
              <w:pStyle w:val="12"/>
              <w:rPr>
                <w:rFonts w:hint="eastAsia"/>
              </w:rPr>
            </w:pPr>
            <w:r>
              <w:rPr>
                <w:rFonts w:hint="eastAsia"/>
              </w:rPr>
              <w:t>每年由综合部按公司管理目标考核要求统计考核公司管理目标完成情况，提交管理评审会议。查到2</w:t>
            </w:r>
            <w:r>
              <w:t>02</w:t>
            </w:r>
            <w:r>
              <w:rPr>
                <w:rFonts w:hint="eastAsia"/>
                <w:lang w:val="en-US" w:eastAsia="zh-CN"/>
              </w:rPr>
              <w:t>1</w:t>
            </w:r>
            <w:r>
              <w:rPr>
                <w:rFonts w:hint="eastAsia"/>
              </w:rPr>
              <w:t>年6月，公司管理目标完成情况，各项目标均已完成，考核部门综合部。</w:t>
            </w:r>
          </w:p>
          <w:p>
            <w:pPr>
              <w:pStyle w:val="12"/>
            </w:pPr>
            <w:r>
              <w:rPr>
                <w:rFonts w:hint="eastAsia" w:eastAsia="宋体"/>
                <w:lang w:eastAsia="zh-CN"/>
              </w:rPr>
              <w:drawing>
                <wp:inline distT="0" distB="0" distL="114300" distR="114300">
                  <wp:extent cx="6652895" cy="2997835"/>
                  <wp:effectExtent l="0" t="0" r="1905" b="12065"/>
                  <wp:docPr id="2" name="图片 2" descr="微信图片_2021090517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905171956"/>
                          <pic:cNvPicPr>
                            <a:picLocks noChangeAspect="1"/>
                          </pic:cNvPicPr>
                        </pic:nvPicPr>
                        <pic:blipFill>
                          <a:blip r:embed="rId6"/>
                          <a:stretch>
                            <a:fillRect/>
                          </a:stretch>
                        </pic:blipFill>
                        <pic:spPr>
                          <a:xfrm>
                            <a:off x="0" y="0"/>
                            <a:ext cx="6652895" cy="2997835"/>
                          </a:xfrm>
                          <a:prstGeom prst="rect">
                            <a:avLst/>
                          </a:prstGeom>
                        </pic:spPr>
                      </pic:pic>
                    </a:graphicData>
                  </a:graphic>
                </wp:inline>
              </w:drawing>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lang w:eastAsia="zh-CN"/>
              </w:rPr>
              <w:t>Q</w:t>
            </w:r>
            <w:r>
              <w:rPr>
                <w:rFonts w:hint="eastAsia"/>
                <w:szCs w:val="21"/>
              </w:rPr>
              <w:t>7.2</w:t>
            </w:r>
          </w:p>
          <w:p>
            <w:pPr>
              <w:pStyle w:val="12"/>
            </w:pPr>
          </w:p>
        </w:tc>
        <w:tc>
          <w:tcPr>
            <w:tcW w:w="10694" w:type="dxa"/>
            <w:vAlign w:val="center"/>
          </w:tcPr>
          <w:p>
            <w:pPr>
              <w:pStyle w:val="6"/>
              <w:widowControl/>
              <w:ind w:firstLine="420" w:firstLineChars="200"/>
              <w:rPr>
                <w:rFonts w:ascii="Times New Roman" w:hAnsi="Times New Roman"/>
                <w:sz w:val="21"/>
                <w:szCs w:val="21"/>
              </w:rPr>
            </w:pPr>
          </w:p>
          <w:p>
            <w:pPr>
              <w:pStyle w:val="6"/>
              <w:widowControl/>
              <w:ind w:firstLine="420" w:firstLineChars="200"/>
              <w:rPr>
                <w:szCs w:val="21"/>
              </w:rPr>
            </w:pPr>
            <w:r>
              <w:rPr>
                <w:rFonts w:hint="eastAsia" w:ascii="Times New Roman" w:hAnsi="Times New Roman"/>
                <w:sz w:val="21"/>
                <w:szCs w:val="21"/>
              </w:rPr>
              <w:t>编制</w:t>
            </w:r>
            <w:r>
              <w:rPr>
                <w:rFonts w:ascii="Times New Roman" w:hAnsi="Times New Roman"/>
                <w:sz w:val="21"/>
                <w:szCs w:val="21"/>
              </w:rPr>
              <w:t>OSBD -CX-7.2-03</w:t>
            </w:r>
            <w:r>
              <w:rPr>
                <w:rFonts w:hint="eastAsia" w:ascii="Times New Roman" w:hAnsi="Times New Roman"/>
                <w:sz w:val="21"/>
                <w:szCs w:val="21"/>
              </w:rPr>
              <w:t>《人员能力、意识控制程序》，规定了控制要求。对企业的人力资源的培养和发展等作出规定，招聘、培训、试用与转正等人力资源作出了规划。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6"/>
              <w:widowControl/>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w:t>
            </w:r>
            <w:r>
              <w:rPr>
                <w:rFonts w:hint="eastAsia" w:ascii="Times New Roman" w:hAnsi="Times New Roman"/>
                <w:sz w:val="21"/>
                <w:szCs w:val="21"/>
                <w:lang w:val="en-US" w:eastAsia="zh-CN"/>
              </w:rPr>
              <w:t>1</w:t>
            </w:r>
            <w:r>
              <w:rPr>
                <w:rFonts w:hint="eastAsia" w:ascii="Times New Roman" w:hAnsi="Times New Roman"/>
                <w:sz w:val="21"/>
                <w:szCs w:val="21"/>
              </w:rPr>
              <w:t>年培训计划》，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rPr>
              <w:t>考核方式</w:t>
            </w:r>
          </w:p>
          <w:p>
            <w:pPr>
              <w:pStyle w:val="6"/>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lang w:val="en-US" w:eastAsia="zh-CN"/>
              </w:rPr>
              <w:t>1</w:t>
            </w:r>
            <w:r>
              <w:rPr>
                <w:rFonts w:hint="eastAsia" w:ascii="Times New Roman" w:hAnsi="Times New Roman"/>
                <w:sz w:val="21"/>
                <w:szCs w:val="21"/>
              </w:rPr>
              <w:t>月</w:t>
            </w:r>
            <w:r>
              <w:rPr>
                <w:rFonts w:hint="eastAsia" w:ascii="Times New Roman" w:hAnsi="Times New Roman"/>
                <w:sz w:val="21"/>
                <w:szCs w:val="21"/>
                <w:lang w:val="en-US" w:eastAsia="zh-CN"/>
              </w:rPr>
              <w:t>上</w:t>
            </w:r>
            <w:r>
              <w:rPr>
                <w:rFonts w:hint="eastAsia" w:ascii="Times New Roman" w:hAnsi="Times New Roman"/>
                <w:sz w:val="21"/>
                <w:szCs w:val="21"/>
              </w:rPr>
              <w:t>旬</w:t>
            </w:r>
            <w:r>
              <w:rPr>
                <w:rFonts w:hint="eastAsia" w:ascii="Times New Roman" w:hAnsi="Times New Roman"/>
                <w:sz w:val="21"/>
                <w:szCs w:val="21"/>
              </w:rPr>
              <w:tab/>
            </w:r>
            <w:r>
              <w:rPr>
                <w:rFonts w:hint="eastAsia" w:ascii="Times New Roman" w:hAnsi="Times New Roman"/>
                <w:sz w:val="21"/>
                <w:szCs w:val="21"/>
              </w:rPr>
              <w:t>QES管理体系贯标培训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lang w:val="en-US" w:eastAsia="zh-CN"/>
              </w:rPr>
              <w:t>3</w:t>
            </w:r>
            <w:r>
              <w:rPr>
                <w:rFonts w:hint="eastAsia" w:ascii="Times New Roman" w:hAnsi="Times New Roman"/>
                <w:sz w:val="21"/>
                <w:szCs w:val="21"/>
              </w:rPr>
              <w:t>月中旬</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lang w:val="en-US" w:eastAsia="zh-CN"/>
              </w:rPr>
              <w:t>4</w:t>
            </w:r>
            <w:r>
              <w:rPr>
                <w:rFonts w:hint="eastAsia" w:ascii="Times New Roman" w:hAnsi="Times New Roman"/>
                <w:sz w:val="21"/>
                <w:szCs w:val="21"/>
              </w:rPr>
              <w:t>月</w:t>
            </w:r>
            <w:r>
              <w:rPr>
                <w:rFonts w:hint="eastAsia" w:ascii="Times New Roman" w:hAnsi="Times New Roman"/>
                <w:sz w:val="21"/>
                <w:szCs w:val="21"/>
                <w:lang w:val="en-US" w:eastAsia="zh-CN"/>
              </w:rPr>
              <w:t>上</w:t>
            </w:r>
            <w:r>
              <w:rPr>
                <w:rFonts w:hint="eastAsia" w:ascii="Times New Roman" w:hAnsi="Times New Roman"/>
                <w:sz w:val="21"/>
                <w:szCs w:val="21"/>
              </w:rPr>
              <w:t>旬</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各部门</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lang w:val="en-US" w:eastAsia="zh-CN"/>
              </w:rPr>
              <w:t>5</w:t>
            </w:r>
            <w:r>
              <w:rPr>
                <w:rFonts w:hint="eastAsia" w:ascii="Times New Roman" w:hAnsi="Times New Roman"/>
                <w:sz w:val="21"/>
                <w:szCs w:val="21"/>
              </w:rPr>
              <w:t>月</w:t>
            </w:r>
            <w:r>
              <w:rPr>
                <w:rFonts w:hint="eastAsia" w:ascii="Times New Roman" w:hAnsi="Times New Roman"/>
                <w:sz w:val="21"/>
                <w:szCs w:val="21"/>
                <w:lang w:val="en-US" w:eastAsia="zh-CN"/>
              </w:rPr>
              <w:t xml:space="preserve">下旬 </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人员</w:t>
            </w:r>
            <w:r>
              <w:rPr>
                <w:rFonts w:hint="eastAsia" w:ascii="Times New Roman" w:hAnsi="Times New Roman"/>
                <w:sz w:val="21"/>
                <w:szCs w:val="21"/>
              </w:rPr>
              <w:tab/>
            </w:r>
            <w:r>
              <w:rPr>
                <w:rFonts w:hint="eastAsia" w:ascii="Times New Roman" w:hAnsi="Times New Roman"/>
                <w:sz w:val="21"/>
                <w:szCs w:val="21"/>
              </w:rPr>
              <w:t>销售人员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7月</w:t>
            </w:r>
            <w:r>
              <w:rPr>
                <w:rFonts w:hint="eastAsia" w:ascii="Times New Roman" w:hAnsi="Times New Roman"/>
                <w:sz w:val="21"/>
                <w:szCs w:val="21"/>
                <w:lang w:val="en-US" w:eastAsia="zh-CN"/>
              </w:rPr>
              <w:t>15日</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管理层、各部门</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p>
          <w:p>
            <w:pPr>
              <w:pStyle w:val="6"/>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lang w:val="en-US" w:eastAsia="zh-CN"/>
              </w:rPr>
              <w:t>11</w:t>
            </w:r>
            <w:r>
              <w:rPr>
                <w:rFonts w:hint="eastAsia" w:ascii="Times New Roman" w:hAnsi="Times New Roman"/>
                <w:sz w:val="21"/>
                <w:szCs w:val="21"/>
              </w:rPr>
              <w:t>月中旬</w:t>
            </w:r>
            <w:r>
              <w:rPr>
                <w:rFonts w:hint="eastAsia" w:ascii="Times New Roman" w:hAnsi="Times New Roman"/>
                <w:sz w:val="21"/>
                <w:szCs w:val="21"/>
              </w:rPr>
              <w:tab/>
            </w:r>
            <w:r>
              <w:rPr>
                <w:rFonts w:hint="eastAsia" w:ascii="Times New Roman" w:hAnsi="Times New Roman"/>
                <w:sz w:val="21"/>
                <w:szCs w:val="21"/>
              </w:rPr>
              <w:t>技术服务培训</w:t>
            </w:r>
            <w:r>
              <w:rPr>
                <w:rFonts w:hint="eastAsia" w:ascii="Times New Roman" w:hAnsi="Times New Roman"/>
                <w:sz w:val="21"/>
                <w:szCs w:val="21"/>
              </w:rPr>
              <w:tab/>
            </w:r>
            <w:r>
              <w:rPr>
                <w:rFonts w:hint="eastAsia" w:ascii="Times New Roman" w:hAnsi="Times New Roman"/>
                <w:sz w:val="21"/>
                <w:szCs w:val="21"/>
              </w:rPr>
              <w:t>技术部</w:t>
            </w:r>
            <w:r>
              <w:rPr>
                <w:rFonts w:hint="eastAsia" w:ascii="Times New Roman" w:hAnsi="Times New Roman"/>
                <w:sz w:val="21"/>
                <w:szCs w:val="21"/>
              </w:rPr>
              <w:tab/>
            </w:r>
            <w:r>
              <w:rPr>
                <w:rFonts w:hint="eastAsia" w:ascii="Times New Roman" w:hAnsi="Times New Roman"/>
                <w:sz w:val="21"/>
                <w:szCs w:val="21"/>
              </w:rPr>
              <w:t xml:space="preserve"> </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实际操作</w:t>
            </w:r>
          </w:p>
          <w:p>
            <w:pPr>
              <w:pStyle w:val="6"/>
              <w:widowControl/>
              <w:ind w:firstLine="420" w:firstLineChars="200"/>
              <w:rPr>
                <w:rFonts w:ascii="Times New Roman" w:hAnsi="Times New Roman"/>
                <w:sz w:val="21"/>
                <w:szCs w:val="21"/>
              </w:rPr>
            </w:pPr>
            <w:r>
              <w:rPr>
                <w:rFonts w:hint="eastAsia" w:ascii="Times New Roman" w:hAnsi="Times New Roman"/>
                <w:sz w:val="21"/>
                <w:szCs w:val="21"/>
              </w:rPr>
              <w:t>演练</w:t>
            </w:r>
          </w:p>
          <w:p>
            <w:pPr>
              <w:pStyle w:val="6"/>
              <w:widowControl/>
              <w:ind w:firstLine="420" w:firstLineChars="200"/>
              <w:rPr>
                <w:rFonts w:ascii="Times New Roman" w:hAnsi="Times New Roman"/>
                <w:sz w:val="21"/>
                <w:szCs w:val="21"/>
              </w:rPr>
            </w:pPr>
            <w:r>
              <w:rPr>
                <w:rFonts w:hint="eastAsia" w:ascii="Times New Roman" w:hAnsi="Times New Roman"/>
                <w:sz w:val="21"/>
                <w:szCs w:val="21"/>
              </w:rPr>
              <w:t>7</w:t>
            </w:r>
            <w:r>
              <w:rPr>
                <w:rFonts w:hint="eastAsia" w:ascii="Times New Roman" w:hAnsi="Times New Roman"/>
                <w:sz w:val="21"/>
                <w:szCs w:val="21"/>
              </w:rPr>
              <w:tab/>
            </w:r>
            <w:r>
              <w:rPr>
                <w:rFonts w:hint="eastAsia" w:ascii="Times New Roman" w:hAnsi="Times New Roman"/>
                <w:sz w:val="21"/>
                <w:szCs w:val="21"/>
                <w:lang w:val="en-US" w:eastAsia="zh-CN"/>
              </w:rPr>
              <w:t>12</w:t>
            </w:r>
            <w:r>
              <w:rPr>
                <w:rFonts w:hint="eastAsia" w:ascii="Times New Roman" w:hAnsi="Times New Roman"/>
                <w:sz w:val="21"/>
                <w:szCs w:val="21"/>
              </w:rPr>
              <w:t>月下旬</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人员</w:t>
            </w:r>
            <w:r>
              <w:rPr>
                <w:rFonts w:hint="eastAsia" w:ascii="Times New Roman" w:hAnsi="Times New Roman"/>
                <w:sz w:val="21"/>
                <w:szCs w:val="21"/>
              </w:rPr>
              <w:tab/>
            </w:r>
            <w:r>
              <w:rPr>
                <w:rFonts w:hint="eastAsia" w:ascii="Times New Roman" w:hAnsi="Times New Roman"/>
                <w:sz w:val="21"/>
                <w:szCs w:val="21"/>
              </w:rPr>
              <w:t>销售人员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6"/>
              <w:widowControl/>
              <w:ind w:firstLine="420" w:firstLineChars="200"/>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
            <w:pPr>
              <w:rPr>
                <w:rFonts w:hint="eastAsia"/>
              </w:rPr>
            </w:pPr>
            <w:r>
              <w:rPr>
                <w:rFonts w:hint="eastAsia"/>
              </w:rPr>
              <w:t>抽查：培训实施记录</w:t>
            </w:r>
          </w:p>
          <w:p>
            <w:pPr>
              <w:pStyle w:val="2"/>
              <w:jc w:val="both"/>
              <w:rPr>
                <w:rFonts w:hint="eastAsia" w:eastAsia="宋体"/>
                <w:lang w:eastAsia="zh-CN"/>
              </w:rPr>
            </w:pPr>
            <w:r>
              <w:rPr>
                <w:rFonts w:hint="eastAsia" w:eastAsia="宋体"/>
                <w:lang w:eastAsia="zh-CN"/>
              </w:rPr>
              <w:drawing>
                <wp:inline distT="0" distB="0" distL="114300" distR="114300">
                  <wp:extent cx="6648450" cy="3221990"/>
                  <wp:effectExtent l="0" t="0" r="6350" b="3810"/>
                  <wp:docPr id="3" name="图片 3" descr="微信图片_2021090517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905173014"/>
                          <pic:cNvPicPr>
                            <a:picLocks noChangeAspect="1"/>
                          </pic:cNvPicPr>
                        </pic:nvPicPr>
                        <pic:blipFill>
                          <a:blip r:embed="rId7"/>
                          <a:stretch>
                            <a:fillRect/>
                          </a:stretch>
                        </pic:blipFill>
                        <pic:spPr>
                          <a:xfrm>
                            <a:off x="0" y="0"/>
                            <a:ext cx="6648450" cy="3221990"/>
                          </a:xfrm>
                          <a:prstGeom prst="rect">
                            <a:avLst/>
                          </a:prstGeom>
                        </pic:spPr>
                      </pic:pic>
                    </a:graphicData>
                  </a:graphic>
                </wp:inline>
              </w:drawing>
            </w:r>
          </w:p>
          <w:p>
            <w:pPr>
              <w:pStyle w:val="2"/>
              <w:rPr>
                <w:rFonts w:hint="eastAsia" w:eastAsia="宋体"/>
                <w:lang w:eastAsia="zh-CN"/>
              </w:rPr>
            </w:pPr>
            <w:r>
              <w:rPr>
                <w:rFonts w:hint="eastAsia" w:eastAsia="宋体"/>
                <w:lang w:eastAsia="zh-CN"/>
              </w:rPr>
              <w:drawing>
                <wp:inline distT="0" distB="0" distL="114300" distR="114300">
                  <wp:extent cx="6647180" cy="2470785"/>
                  <wp:effectExtent l="0" t="0" r="7620" b="5715"/>
                  <wp:docPr id="4" name="图片 4" descr="微信图片_2021090517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905173044"/>
                          <pic:cNvPicPr>
                            <a:picLocks noChangeAspect="1"/>
                          </pic:cNvPicPr>
                        </pic:nvPicPr>
                        <pic:blipFill>
                          <a:blip r:embed="rId8"/>
                          <a:stretch>
                            <a:fillRect/>
                          </a:stretch>
                        </pic:blipFill>
                        <pic:spPr>
                          <a:xfrm>
                            <a:off x="0" y="0"/>
                            <a:ext cx="6647180" cy="2470785"/>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6652260" cy="2824480"/>
                  <wp:effectExtent l="0" t="0" r="2540" b="7620"/>
                  <wp:docPr id="5" name="图片 5" descr="微信图片_2021090517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905173122"/>
                          <pic:cNvPicPr>
                            <a:picLocks noChangeAspect="1"/>
                          </pic:cNvPicPr>
                        </pic:nvPicPr>
                        <pic:blipFill>
                          <a:blip r:embed="rId9"/>
                          <a:stretch>
                            <a:fillRect/>
                          </a:stretch>
                        </pic:blipFill>
                        <pic:spPr>
                          <a:xfrm>
                            <a:off x="0" y="0"/>
                            <a:ext cx="6652260" cy="2824480"/>
                          </a:xfrm>
                          <a:prstGeom prst="rect">
                            <a:avLst/>
                          </a:prstGeom>
                        </pic:spPr>
                      </pic:pic>
                    </a:graphicData>
                  </a:graphic>
                </wp:inline>
              </w:drawing>
            </w:r>
          </w:p>
          <w:p>
            <w:r>
              <w:rPr>
                <w:rFonts w:hint="eastAsia"/>
              </w:rPr>
              <w:t>查本公司人员稳定，无新进员工，无新员工三级教育培训记录</w:t>
            </w:r>
          </w:p>
          <w:p>
            <w:pPr>
              <w:pStyle w:val="12"/>
              <w:ind w:firstLine="400"/>
              <w:rPr>
                <w:rFonts w:hint="eastAsia"/>
              </w:rPr>
            </w:pPr>
            <w:r>
              <w:rPr>
                <w:rFonts w:hint="eastAsia"/>
              </w:rPr>
              <w:t>抽查人员能力评价表</w:t>
            </w:r>
          </w:p>
          <w:p>
            <w:pPr>
              <w:pStyle w:val="12"/>
              <w:ind w:firstLine="400"/>
              <w:rPr>
                <w:rFonts w:hint="eastAsia" w:eastAsia="宋体"/>
                <w:lang w:eastAsia="zh-CN"/>
              </w:rPr>
            </w:pPr>
            <w:r>
              <w:rPr>
                <w:rFonts w:hint="eastAsia" w:eastAsia="宋体"/>
                <w:lang w:eastAsia="zh-CN"/>
              </w:rPr>
              <w:drawing>
                <wp:inline distT="0" distB="0" distL="114300" distR="114300">
                  <wp:extent cx="6652260" cy="3307080"/>
                  <wp:effectExtent l="0" t="0" r="2540" b="7620"/>
                  <wp:docPr id="6" name="图片 6" descr="微信图片_2021090517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905173333"/>
                          <pic:cNvPicPr>
                            <a:picLocks noChangeAspect="1"/>
                          </pic:cNvPicPr>
                        </pic:nvPicPr>
                        <pic:blipFill>
                          <a:blip r:embed="rId10"/>
                          <a:stretch>
                            <a:fillRect/>
                          </a:stretch>
                        </pic:blipFill>
                        <pic:spPr>
                          <a:xfrm>
                            <a:off x="0" y="0"/>
                            <a:ext cx="6652260" cy="3307080"/>
                          </a:xfrm>
                          <a:prstGeom prst="rect">
                            <a:avLst/>
                          </a:prstGeom>
                        </pic:spPr>
                      </pic:pic>
                    </a:graphicData>
                  </a:graphic>
                </wp:inline>
              </w:drawing>
            </w:r>
          </w:p>
          <w:p>
            <w:pPr>
              <w:pStyle w:val="12"/>
              <w:rPr>
                <w:rFonts w:hint="eastAsia" w:eastAsia="宋体"/>
                <w:color w:val="0C0C0C"/>
                <w:szCs w:val="21"/>
                <w:lang w:eastAsia="zh-CN"/>
              </w:rPr>
            </w:pPr>
            <w:r>
              <w:rPr>
                <w:rFonts w:hint="eastAsia" w:eastAsia="宋体"/>
                <w:color w:val="0C0C0C"/>
                <w:szCs w:val="21"/>
                <w:lang w:eastAsia="zh-CN"/>
              </w:rPr>
              <w:drawing>
                <wp:inline distT="0" distB="0" distL="114300" distR="114300">
                  <wp:extent cx="6647180" cy="3511550"/>
                  <wp:effectExtent l="0" t="0" r="7620" b="6350"/>
                  <wp:docPr id="7" name="图片 7" descr="微信图片_2021090517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0905173356"/>
                          <pic:cNvPicPr>
                            <a:picLocks noChangeAspect="1"/>
                          </pic:cNvPicPr>
                        </pic:nvPicPr>
                        <pic:blipFill>
                          <a:blip r:embed="rId11"/>
                          <a:stretch>
                            <a:fillRect/>
                          </a:stretch>
                        </pic:blipFill>
                        <pic:spPr>
                          <a:xfrm>
                            <a:off x="0" y="0"/>
                            <a:ext cx="6647180" cy="3511550"/>
                          </a:xfrm>
                          <a:prstGeom prst="rect">
                            <a:avLst/>
                          </a:prstGeom>
                        </pic:spPr>
                      </pic:pic>
                    </a:graphicData>
                  </a:graphic>
                </wp:inline>
              </w:drawing>
            </w:r>
          </w:p>
          <w:p>
            <w:pPr>
              <w:pStyle w:val="12"/>
              <w:rPr>
                <w:color w:val="0C0C0C"/>
                <w:szCs w:val="21"/>
              </w:rPr>
            </w:pPr>
            <w:r>
              <w:rPr>
                <w:rFonts w:hint="eastAsia"/>
                <w:color w:val="0C0C0C"/>
                <w:szCs w:val="21"/>
              </w:rPr>
              <w:t>人力资源控制基本满足要求。</w:t>
            </w:r>
          </w:p>
          <w:p>
            <w:pPr>
              <w:pStyle w:val="12"/>
              <w:rPr>
                <w:rFonts w:ascii="Arial" w:hAnsi="Arial" w:cs="Arial"/>
                <w:bCs w:val="0"/>
                <w:color w:val="333333"/>
                <w:spacing w:val="0"/>
                <w:shd w:val="clear" w:color="auto" w:fill="FFFFFF"/>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szCs w:val="21"/>
              </w:rPr>
              <w:t>意识</w:t>
            </w:r>
          </w:p>
        </w:tc>
        <w:tc>
          <w:tcPr>
            <w:tcW w:w="960" w:type="dxa"/>
            <w:vAlign w:val="center"/>
          </w:tcPr>
          <w:p>
            <w:pPr>
              <w:rPr>
                <w:szCs w:val="21"/>
              </w:rPr>
            </w:pPr>
            <w:r>
              <w:rPr>
                <w:rFonts w:hint="eastAsia"/>
                <w:szCs w:val="21"/>
                <w:lang w:eastAsia="zh-CN"/>
              </w:rPr>
              <w:t>Q</w:t>
            </w:r>
            <w:r>
              <w:rPr>
                <w:rFonts w:hint="eastAsia"/>
                <w:szCs w:val="21"/>
              </w:rPr>
              <w:t>7.3</w:t>
            </w:r>
          </w:p>
          <w:p/>
        </w:tc>
        <w:tc>
          <w:tcPr>
            <w:tcW w:w="10694" w:type="dxa"/>
            <w:vAlign w:val="center"/>
          </w:tcPr>
          <w:p/>
          <w:p>
            <w:pPr>
              <w:ind w:firstLine="420" w:firstLineChars="200"/>
              <w:rPr>
                <w:szCs w:val="21"/>
              </w:rPr>
            </w:pPr>
            <w:r>
              <w:rPr>
                <w:rFonts w:hint="eastAsia"/>
              </w:rPr>
              <w:t>主要通过培训提高岗位作业水平及质量意识，明确各岗位要求，销售人员、财务人员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2"/>
            </w:pPr>
            <w:r>
              <w:rPr>
                <w:rFonts w:hint="eastAsia"/>
                <w:szCs w:val="21"/>
              </w:rPr>
              <w:t>询问综合部人员，清楚与其相关的重要环境因素与职业健康安全风险。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w:t>
            </w:r>
          </w:p>
        </w:tc>
        <w:tc>
          <w:tcPr>
            <w:tcW w:w="960" w:type="dxa"/>
            <w:vAlign w:val="center"/>
          </w:tcPr>
          <w:p>
            <w:pPr>
              <w:rPr>
                <w:szCs w:val="21"/>
              </w:rPr>
            </w:pPr>
            <w:r>
              <w:rPr>
                <w:rFonts w:hint="eastAsia"/>
                <w:szCs w:val="21"/>
                <w:lang w:eastAsia="zh-CN"/>
              </w:rPr>
              <w:t>Q</w:t>
            </w:r>
            <w:r>
              <w:rPr>
                <w:rFonts w:hint="eastAsia"/>
                <w:szCs w:val="21"/>
              </w:rPr>
              <w:t>7.4</w:t>
            </w:r>
          </w:p>
          <w:p>
            <w:pPr>
              <w:pStyle w:val="1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rFonts w:hint="eastAsia" w:ascii="宋体" w:hAnsi="宋体" w:cs="宋体"/>
                <w:szCs w:val="21"/>
              </w:rPr>
              <w:t>OSBD -CX-7.4-13</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供销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rPr>
                <w:szCs w:val="21"/>
              </w:rPr>
            </w:pPr>
            <w:r>
              <w:rPr>
                <w:rFonts w:hint="eastAsia"/>
                <w:szCs w:val="21"/>
                <w:lang w:eastAsia="zh-CN"/>
              </w:rPr>
              <w:t>Q</w:t>
            </w:r>
            <w:r>
              <w:rPr>
                <w:rFonts w:hint="eastAsia"/>
                <w:szCs w:val="21"/>
              </w:rPr>
              <w:t>7.5</w:t>
            </w:r>
          </w:p>
          <w:p>
            <w:pPr>
              <w:pStyle w:val="1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pStyle w:val="12"/>
              <w:numPr>
                <w:ilvl w:val="0"/>
                <w:numId w:val="1"/>
              </w:numPr>
              <w:tabs>
                <w:tab w:val="clear" w:pos="312"/>
              </w:tabs>
            </w:pPr>
            <w:r>
              <w:rPr>
                <w:rFonts w:hint="eastAsia"/>
              </w:rPr>
              <w:t>管理手册</w:t>
            </w:r>
            <w:r>
              <w:rPr>
                <w:rFonts w:hint="eastAsia"/>
                <w:b/>
              </w:rPr>
              <w:t>OSBD</w:t>
            </w:r>
            <w:r>
              <w:rPr>
                <w:b/>
              </w:rPr>
              <w:t>-SC</w:t>
            </w:r>
            <w:r>
              <w:rPr>
                <w:rFonts w:hint="eastAsia"/>
                <w:b/>
              </w:rPr>
              <w:t xml:space="preserve">-A/0-2020 </w:t>
            </w:r>
            <w:r>
              <w:rPr>
                <w:rFonts w:hint="eastAsia"/>
              </w:rPr>
              <w:t xml:space="preserve"> A/</w:t>
            </w:r>
            <w:r>
              <w:t>0</w:t>
            </w:r>
            <w:r>
              <w:rPr>
                <w:rFonts w:hint="eastAsia"/>
              </w:rPr>
              <w:t>版，发布时间：20</w:t>
            </w:r>
            <w:r>
              <w:t>20</w:t>
            </w:r>
            <w:r>
              <w:rPr>
                <w:rFonts w:hint="eastAsia"/>
              </w:rPr>
              <w:t>年</w:t>
            </w:r>
            <w:r>
              <w:t>03</w:t>
            </w:r>
            <w:r>
              <w:rPr>
                <w:rFonts w:hint="eastAsia"/>
              </w:rPr>
              <w:t>月10日实施时间：20</w:t>
            </w:r>
            <w:r>
              <w:t>20</w:t>
            </w:r>
            <w:r>
              <w:rPr>
                <w:rFonts w:hint="eastAsia"/>
              </w:rPr>
              <w:t>年</w:t>
            </w:r>
            <w:r>
              <w:t>03</w:t>
            </w:r>
            <w:r>
              <w:rPr>
                <w:rFonts w:hint="eastAsia"/>
              </w:rPr>
              <w:t xml:space="preserve">月 </w:t>
            </w:r>
            <w:r>
              <w:t xml:space="preserve">       </w:t>
            </w:r>
            <w:r>
              <w:rPr>
                <w:rFonts w:hint="eastAsia"/>
              </w:rPr>
              <w:t>10日</w:t>
            </w:r>
          </w:p>
          <w:p>
            <w:pPr>
              <w:pStyle w:val="12"/>
              <w:rPr>
                <w:b/>
              </w:rPr>
            </w:pPr>
            <w:r>
              <w:rPr>
                <w:rFonts w:hint="eastAsia"/>
              </w:rPr>
              <w:t>2.程序文件</w:t>
            </w:r>
            <w:r>
              <w:rPr>
                <w:rFonts w:hint="eastAsia"/>
                <w:b/>
              </w:rPr>
              <w:t xml:space="preserve">OSBD </w:t>
            </w:r>
            <w:r>
              <w:rPr>
                <w:b/>
              </w:rPr>
              <w:t>-</w:t>
            </w:r>
            <w:r>
              <w:rPr>
                <w:rFonts w:hint="eastAsia"/>
                <w:b/>
              </w:rPr>
              <w:t>CX -A/0-2020</w:t>
            </w:r>
            <w:r>
              <w:rPr>
                <w:b/>
              </w:rPr>
              <w:t xml:space="preserve">  </w:t>
            </w:r>
            <w:r>
              <w:rPr>
                <w:rFonts w:hint="eastAsia"/>
              </w:rPr>
              <w:t>A</w:t>
            </w:r>
            <w:r>
              <w:t>/0</w:t>
            </w:r>
            <w:r>
              <w:rPr>
                <w:rFonts w:hint="eastAsia"/>
              </w:rPr>
              <w:t>版含2</w:t>
            </w:r>
            <w:r>
              <w:t>3</w:t>
            </w:r>
            <w:r>
              <w:rPr>
                <w:rFonts w:hint="eastAsia"/>
              </w:rPr>
              <w:t>个文件，包括标准要求的形成文件的信息。</w:t>
            </w:r>
          </w:p>
          <w:p>
            <w:pPr>
              <w:pStyle w:val="12"/>
            </w:pPr>
            <w:r>
              <w:rPr>
                <w:rFonts w:hint="eastAsia"/>
              </w:rPr>
              <w:t>3.管理制度汇编：质量管理制度、销售管理制度等10个</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r>
              <w:rPr>
                <w:rFonts w:hint="eastAsia"/>
              </w:rPr>
              <w:t>查到公司建立、运行</w:t>
            </w:r>
            <w:r>
              <w:rPr>
                <w:rFonts w:hint="eastAsia"/>
                <w:lang w:eastAsia="zh-CN"/>
              </w:rPr>
              <w:t>质量</w:t>
            </w:r>
            <w:r>
              <w:rPr>
                <w:rFonts w:hint="eastAsia"/>
              </w:rPr>
              <w:t>管理体系过程中涉及到的所有信息均为组织知识，公司的组织知识以纸质文件、电子文档方式保存，各部门负责本部门职能范围内知识的管理，综合部负责其余知识的管理控制。</w:t>
            </w:r>
          </w:p>
          <w:p>
            <w:r>
              <w:rPr>
                <w:rFonts w:hint="eastAsia"/>
              </w:rPr>
              <w:t>综合部负责在公司内部建立QQ工作群、微信工作组、公司网页以及实行培训、教育等活动以实现知识共享、传递的目的。</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内部审核</w:t>
            </w:r>
          </w:p>
        </w:tc>
        <w:tc>
          <w:tcPr>
            <w:tcW w:w="960" w:type="dxa"/>
            <w:vAlign w:val="center"/>
          </w:tcPr>
          <w:p>
            <w:pPr>
              <w:rPr>
                <w:szCs w:val="21"/>
              </w:rPr>
            </w:pPr>
            <w:r>
              <w:rPr>
                <w:rFonts w:hint="eastAsia"/>
                <w:szCs w:val="21"/>
                <w:lang w:eastAsia="zh-CN"/>
              </w:rPr>
              <w:t>Q</w:t>
            </w:r>
            <w:r>
              <w:rPr>
                <w:rFonts w:hint="eastAsia"/>
                <w:szCs w:val="21"/>
              </w:rPr>
              <w:t>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5</w:t>
            </w:r>
            <w:r>
              <w:rPr>
                <w:rFonts w:hint="eastAsia"/>
                <w:color w:val="000000"/>
                <w:szCs w:val="21"/>
              </w:rPr>
              <w:t>月1</w:t>
            </w:r>
            <w:r>
              <w:rPr>
                <w:color w:val="000000"/>
                <w:szCs w:val="21"/>
              </w:rPr>
              <w:t>0</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w:t>
            </w:r>
            <w:r>
              <w:rPr>
                <w:rFonts w:hint="eastAsia" w:ascii="宋体" w:hAnsi="宋体" w:cs="宋体"/>
                <w:szCs w:val="21"/>
                <w:lang w:val="en-US" w:eastAsia="zh-CN"/>
              </w:rPr>
              <w:t>1</w:t>
            </w:r>
            <w:bookmarkStart w:id="0" w:name="_GoBack"/>
            <w:bookmarkEnd w:id="0"/>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王鸷（组长）  蔡锦鹏（组员）</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color w:val="000000"/>
                <w:szCs w:val="21"/>
              </w:rPr>
              <w:t>20</w:t>
            </w:r>
            <w:r>
              <w:rPr>
                <w:color w:val="000000"/>
                <w:szCs w:val="21"/>
              </w:rPr>
              <w:t>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5</w:t>
            </w:r>
            <w:r>
              <w:rPr>
                <w:rFonts w:hint="eastAsia"/>
                <w:color w:val="000000"/>
                <w:szCs w:val="21"/>
              </w:rPr>
              <w:t>月1</w:t>
            </w:r>
            <w:r>
              <w:rPr>
                <w:color w:val="000000"/>
                <w:szCs w:val="21"/>
              </w:rPr>
              <w:t>0</w:t>
            </w:r>
            <w:r>
              <w:rPr>
                <w:rFonts w:hint="eastAsia"/>
                <w:color w:val="000000"/>
                <w:szCs w:val="21"/>
              </w:rPr>
              <w:t>日</w:t>
            </w:r>
          </w:p>
          <w:p>
            <w:pPr>
              <w:rPr>
                <w:rFonts w:ascii="华文中宋" w:hAnsi="华文中宋" w:eastAsia="华文中宋"/>
                <w:color w:val="000000"/>
                <w:sz w:val="24"/>
              </w:rPr>
            </w:pPr>
            <w:r>
              <w:rPr>
                <w:rFonts w:hint="eastAsia" w:ascii="宋体" w:hAnsi="宋体" w:cs="宋体"/>
                <w:szCs w:val="21"/>
              </w:rPr>
              <w:t>3.审核范围：管理手册覆盖的所有部门及过程；</w:t>
            </w:r>
          </w:p>
          <w:p>
            <w:pPr>
              <w:rPr>
                <w:rFonts w:ascii="宋体" w:hAnsi="宋体" w:cs="宋体"/>
                <w:szCs w:val="21"/>
              </w:rPr>
            </w:pPr>
            <w:r>
              <w:rPr>
                <w:rFonts w:hint="eastAsia" w:ascii="宋体" w:hAnsi="宋体" w:cs="宋体"/>
                <w:szCs w:val="21"/>
              </w:rPr>
              <w:t>4.审核准则：ISO9001:2015《质量管理体系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ascii="宋体" w:hAnsi="宋体" w:cs="宋体"/>
                <w:szCs w:val="21"/>
              </w:rPr>
            </w:pPr>
            <w:r>
              <w:rPr>
                <w:rFonts w:hint="eastAsia" w:ascii="宋体" w:hAnsi="宋体" w:cs="宋体"/>
                <w:szCs w:val="21"/>
              </w:rPr>
              <w:t>提供了《内审不合格报告》1份，审核发现, 综合部未按照要求对外来文件清单进行及时更新；不符合标准条款：GB/T19001-2016 idt ISO9001:2015标准7.</w:t>
            </w:r>
            <w:r>
              <w:rPr>
                <w:rFonts w:hint="eastAsia" w:ascii="宋体" w:hAnsi="宋体" w:cs="宋体"/>
                <w:szCs w:val="21"/>
                <w:lang w:val="en-US" w:eastAsia="zh-CN"/>
              </w:rPr>
              <w:t>2</w:t>
            </w:r>
            <w:r>
              <w:rPr>
                <w:rFonts w:hint="eastAsia" w:ascii="宋体" w:hAnsi="宋体" w:cs="宋体"/>
                <w:szCs w:val="21"/>
              </w:rPr>
              <w:t>条款。</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autoSpaceDE w:val="0"/>
              <w:autoSpaceDN w:val="0"/>
              <w:adjustRightInd w:val="0"/>
              <w:spacing w:line="360" w:lineRule="auto"/>
              <w:rPr>
                <w:rFonts w:ascii="宋体" w:hAnsi="宋体" w:cs="宋体"/>
                <w:szCs w:val="21"/>
              </w:rPr>
            </w:pPr>
            <w:r>
              <w:rPr>
                <w:rFonts w:hint="eastAsia" w:ascii="宋体" w:hAnsi="宋体" w:cs="宋体"/>
                <w:szCs w:val="21"/>
              </w:rPr>
              <w:t>审核结论：本公司依据</w:t>
            </w:r>
            <w:r>
              <w:rPr>
                <w:rFonts w:ascii="宋体" w:hAnsi="宋体" w:cs="宋体"/>
                <w:szCs w:val="21"/>
              </w:rPr>
              <w:t>GB/T19001-2016idtISO9001:2015</w:t>
            </w:r>
            <w:r>
              <w:rPr>
                <w:rFonts w:hint="eastAsia" w:ascii="宋体" w:hAnsi="宋体" w:cs="宋体"/>
                <w:szCs w:val="21"/>
              </w:rPr>
              <w:t>标准，</w:t>
            </w:r>
            <w:r>
              <w:rPr>
                <w:rFonts w:ascii="宋体" w:hAnsi="宋体" w:cs="宋体"/>
                <w:szCs w:val="21"/>
              </w:rPr>
              <w:t>GB/T24001-2016idtISO14001:2015</w:t>
            </w:r>
            <w:r>
              <w:rPr>
                <w:rFonts w:hint="eastAsia" w:ascii="宋体" w:hAnsi="宋体" w:cs="宋体"/>
                <w:szCs w:val="21"/>
              </w:rPr>
              <w:t>标准，ISO45001:2018标准所建立的管理体系符合标准的要求，各部门基本能够按照体系文件的要求开展工作，通过体系的有效运行进一步规范了各部门、岗位的工作行为，生产产品质量稳定，确保质量管理体系运行的各过程得到有效控制，初步达到了方针和目标的要求，遵纪守法、预防为主的意识得到提高。通过以上现象能够反映出员工对质量/环境/安全管理体系中各条款理解不深，今后需要加强学习和培训，增强对标准条款的学习和理解。本次内审中开列的不符合项均由责任部门人认真采取纠正措施整改并由内审员验证合格。</w:t>
            </w:r>
          </w:p>
          <w:p>
            <w:pPr>
              <w:autoSpaceDE w:val="0"/>
              <w:autoSpaceDN w:val="0"/>
              <w:adjustRightInd w:val="0"/>
              <w:spacing w:line="360" w:lineRule="auto"/>
              <w:jc w:val="left"/>
              <w:rPr>
                <w:rFonts w:ascii="宋体" w:hAnsi="宋体" w:cs="宋体"/>
                <w:szCs w:val="21"/>
              </w:rPr>
            </w:pPr>
            <w:r>
              <w:rPr>
                <w:rFonts w:ascii="宋体" w:hAnsi="宋体" w:cs="宋体"/>
                <w:szCs w:val="21"/>
              </w:rPr>
              <w:t xml:space="preserve">   </w:t>
            </w:r>
            <w:r>
              <w:rPr>
                <w:rFonts w:hint="eastAsia" w:ascii="宋体" w:hAnsi="宋体" w:cs="宋体"/>
                <w:szCs w:val="21"/>
              </w:rPr>
              <w:t>综合来看，这次内审是比较成功的审核，同时也发现我公司的质量/环境/安全管理体系运行基本是正常的、有效的，已具备（依据ISO9001：2015、ISO14001：2015、ISO45001:2018）申请第三方认证的条件。</w:t>
            </w:r>
          </w:p>
          <w:p>
            <w:r>
              <w:rPr>
                <w:rFonts w:hint="eastAsia" w:ascii="宋体" w:hAnsi="宋体" w:cs="宋体"/>
                <w:szCs w:val="21"/>
              </w:rPr>
              <w:t>提供了内审员授权书，审核员没有审核自己部门工作，具有独立性。</w:t>
            </w:r>
          </w:p>
        </w:tc>
        <w:tc>
          <w:tcPr>
            <w:tcW w:w="895" w:type="dxa"/>
          </w:tcPr>
          <w:p/>
        </w:tc>
      </w:tr>
    </w:tbl>
    <w:p>
      <w:r>
        <w:ptab w:relativeTo="margin" w:alignment="center" w:leader="none"/>
      </w:r>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71600"/>
    <w:rsid w:val="00976228"/>
    <w:rsid w:val="009973B4"/>
    <w:rsid w:val="009C28C1"/>
    <w:rsid w:val="009E5A60"/>
    <w:rsid w:val="009F0149"/>
    <w:rsid w:val="009F2225"/>
    <w:rsid w:val="009F2F86"/>
    <w:rsid w:val="009F7EED"/>
    <w:rsid w:val="00A02F21"/>
    <w:rsid w:val="00A276A6"/>
    <w:rsid w:val="00A3294E"/>
    <w:rsid w:val="00A50632"/>
    <w:rsid w:val="00A51134"/>
    <w:rsid w:val="00AF0AAB"/>
    <w:rsid w:val="00B1087D"/>
    <w:rsid w:val="00B160FB"/>
    <w:rsid w:val="00B16488"/>
    <w:rsid w:val="00B1795C"/>
    <w:rsid w:val="00B32E56"/>
    <w:rsid w:val="00B475D1"/>
    <w:rsid w:val="00B50C92"/>
    <w:rsid w:val="00B6150E"/>
    <w:rsid w:val="00B73A93"/>
    <w:rsid w:val="00B95A05"/>
    <w:rsid w:val="00BB0BC9"/>
    <w:rsid w:val="00BC6844"/>
    <w:rsid w:val="00BE29A2"/>
    <w:rsid w:val="00BF597E"/>
    <w:rsid w:val="00C5177A"/>
    <w:rsid w:val="00C51A36"/>
    <w:rsid w:val="00C55228"/>
    <w:rsid w:val="00C80696"/>
    <w:rsid w:val="00CA1D28"/>
    <w:rsid w:val="00CD0F2B"/>
    <w:rsid w:val="00CD106F"/>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2C3757"/>
    <w:rsid w:val="036603D4"/>
    <w:rsid w:val="04617F72"/>
    <w:rsid w:val="04C04927"/>
    <w:rsid w:val="04FF2DF5"/>
    <w:rsid w:val="05B11F2A"/>
    <w:rsid w:val="06400A4B"/>
    <w:rsid w:val="06E01EC3"/>
    <w:rsid w:val="09535250"/>
    <w:rsid w:val="09806D23"/>
    <w:rsid w:val="0A0875DB"/>
    <w:rsid w:val="0B156FC6"/>
    <w:rsid w:val="0B256D46"/>
    <w:rsid w:val="0BB74A17"/>
    <w:rsid w:val="0C1821A1"/>
    <w:rsid w:val="0C5F0639"/>
    <w:rsid w:val="0C7D4FDC"/>
    <w:rsid w:val="0C85106D"/>
    <w:rsid w:val="0D66233C"/>
    <w:rsid w:val="0D8B1FB3"/>
    <w:rsid w:val="0F6442AD"/>
    <w:rsid w:val="0FDA7F53"/>
    <w:rsid w:val="108219C2"/>
    <w:rsid w:val="11705116"/>
    <w:rsid w:val="12FA473A"/>
    <w:rsid w:val="15110FDA"/>
    <w:rsid w:val="155A19C5"/>
    <w:rsid w:val="17B20018"/>
    <w:rsid w:val="18DB38B5"/>
    <w:rsid w:val="1A120A39"/>
    <w:rsid w:val="1AD215C7"/>
    <w:rsid w:val="1B1F1D90"/>
    <w:rsid w:val="1B2C7B1C"/>
    <w:rsid w:val="1E295883"/>
    <w:rsid w:val="1E565434"/>
    <w:rsid w:val="1E90527F"/>
    <w:rsid w:val="20D439E7"/>
    <w:rsid w:val="21747ECE"/>
    <w:rsid w:val="21BB5F35"/>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0DC526C"/>
    <w:rsid w:val="31C028B0"/>
    <w:rsid w:val="37476F8A"/>
    <w:rsid w:val="375B1A4D"/>
    <w:rsid w:val="38610411"/>
    <w:rsid w:val="38AA56C2"/>
    <w:rsid w:val="38E10519"/>
    <w:rsid w:val="39827C37"/>
    <w:rsid w:val="3A5779B1"/>
    <w:rsid w:val="3C125F9B"/>
    <w:rsid w:val="3C1959EB"/>
    <w:rsid w:val="3CE000D0"/>
    <w:rsid w:val="3D2F613A"/>
    <w:rsid w:val="3DF17947"/>
    <w:rsid w:val="3E1444F6"/>
    <w:rsid w:val="3F3B2173"/>
    <w:rsid w:val="404F28D9"/>
    <w:rsid w:val="40715AC8"/>
    <w:rsid w:val="40B67F76"/>
    <w:rsid w:val="415E2F32"/>
    <w:rsid w:val="41E277AB"/>
    <w:rsid w:val="429A35A3"/>
    <w:rsid w:val="435C1130"/>
    <w:rsid w:val="442828E9"/>
    <w:rsid w:val="44FF7522"/>
    <w:rsid w:val="47593361"/>
    <w:rsid w:val="47FF3366"/>
    <w:rsid w:val="49BA3960"/>
    <w:rsid w:val="4A0F666A"/>
    <w:rsid w:val="4B4B30DE"/>
    <w:rsid w:val="4BF6764D"/>
    <w:rsid w:val="4BFA763C"/>
    <w:rsid w:val="4C4035AE"/>
    <w:rsid w:val="4DDC3C53"/>
    <w:rsid w:val="4F7F35B2"/>
    <w:rsid w:val="52B24340"/>
    <w:rsid w:val="56311B54"/>
    <w:rsid w:val="569611ED"/>
    <w:rsid w:val="5949498B"/>
    <w:rsid w:val="59A85EFD"/>
    <w:rsid w:val="5D86343D"/>
    <w:rsid w:val="5DB12D14"/>
    <w:rsid w:val="5EA12B9A"/>
    <w:rsid w:val="5EC928D3"/>
    <w:rsid w:val="5F425B73"/>
    <w:rsid w:val="5F5C48D2"/>
    <w:rsid w:val="5F6A1134"/>
    <w:rsid w:val="5F8E191F"/>
    <w:rsid w:val="5F9641CD"/>
    <w:rsid w:val="628D2779"/>
    <w:rsid w:val="628D5F03"/>
    <w:rsid w:val="62C577CA"/>
    <w:rsid w:val="64F43146"/>
    <w:rsid w:val="654A5507"/>
    <w:rsid w:val="658C10F3"/>
    <w:rsid w:val="65CA104B"/>
    <w:rsid w:val="66356363"/>
    <w:rsid w:val="66972AAF"/>
    <w:rsid w:val="677E4DCB"/>
    <w:rsid w:val="67AE1068"/>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Body Text First Indent 2"/>
    <w:basedOn w:val="5"/>
    <w:qFormat/>
    <w:uiPriority w:val="0"/>
    <w:pPr>
      <w:ind w:firstLine="420"/>
      <w:jc w:val="left"/>
    </w:pPr>
    <w:rPr>
      <w:rFonts w:eastAsia="仿宋_GB2312"/>
      <w:color w:val="000000"/>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2"/>
    <w:qFormat/>
    <w:uiPriority w:val="99"/>
    <w:rPr>
      <w:rFonts w:ascii="Times New Roman" w:hAnsi="Times New Roman" w:eastAsia="宋体" w:cs="Times New Roman"/>
      <w:sz w:val="18"/>
      <w:szCs w:val="18"/>
    </w:rPr>
  </w:style>
  <w:style w:type="character" w:customStyle="1" w:styleId="14">
    <w:name w:val="页脚 字符"/>
    <w:basedOn w:val="11"/>
    <w:link w:val="8"/>
    <w:qFormat/>
    <w:uiPriority w:val="99"/>
    <w:rPr>
      <w:rFonts w:ascii="Times New Roman" w:hAnsi="Times New Roman" w:eastAsia="宋体" w:cs="Times New Roman"/>
      <w:sz w:val="18"/>
      <w:szCs w:val="18"/>
    </w:rPr>
  </w:style>
  <w:style w:type="character" w:customStyle="1" w:styleId="15">
    <w:name w:val="批注框文本 字符"/>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字符"/>
    <w:basedOn w:val="11"/>
    <w:link w:val="3"/>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qFormat/>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13</Pages>
  <Words>1387</Words>
  <Characters>7906</Characters>
  <Lines>65</Lines>
  <Paragraphs>18</Paragraphs>
  <TotalTime>11</TotalTime>
  <ScaleCrop>false</ScaleCrop>
  <LinksUpToDate>false</LinksUpToDate>
  <CharactersWithSpaces>9275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2021-09-07T03:16:34Z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