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2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6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四川苏克流体控制设备有限公司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4907216607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1907101003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0-500</w:t>
            </w:r>
            <w:r>
              <w:rPr>
                <w:rFonts w:hint="eastAsia"/>
                <w:sz w:val="18"/>
                <w:szCs w:val="18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31981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光谱仪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19006832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TXC35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Urel=3.5%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标准物质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纯铁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U=0.006%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带表卡尺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6109662206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300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0.01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25400</wp:posOffset>
                  </wp:positionV>
                  <wp:extent cx="563245" cy="311150"/>
                  <wp:effectExtent l="0" t="0" r="8255" b="6350"/>
                  <wp:wrapNone/>
                  <wp:docPr id="26" name="图片 26" descr="6b301d4aefd14b1fca650a8f8c517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b301d4aefd14b1fca650a8f8c517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760730" cy="279400"/>
                  <wp:effectExtent l="0" t="0" r="1270" b="0"/>
                  <wp:docPr id="10" name="图片 10" descr="d8a086dc00927da92e3e3f5e48f62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8a086dc00927da92e3e3f5e48f620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051814"/>
    <w:rsid w:val="386162FE"/>
    <w:rsid w:val="52644EB1"/>
    <w:rsid w:val="6767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2021-06-17T05:58:48Z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68F4C89CABB244C296BCBDE7C3C018F1</vt:lpwstr>
  </property>
</Properties>
</file>