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2149"/>
        <w:gridCol w:w="22"/>
        <w:gridCol w:w="938"/>
        <w:gridCol w:w="745"/>
        <w:gridCol w:w="925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3"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000" w:type="dxa"/>
            <w:gridSpan w:val="2"/>
            <w:vAlign w:val="center"/>
          </w:tcPr>
          <w:p>
            <w:pPr>
              <w:rPr>
                <w:sz w:val="24"/>
                <w:szCs w:val="24"/>
              </w:rPr>
            </w:pPr>
            <w:r>
              <w:rPr>
                <w:rFonts w:hint="eastAsia"/>
                <w:sz w:val="24"/>
                <w:szCs w:val="24"/>
              </w:rPr>
              <w:t xml:space="preserve">受审核部门：管理层 </w:t>
            </w:r>
            <w:r>
              <w:rPr>
                <w:sz w:val="24"/>
                <w:szCs w:val="24"/>
              </w:rPr>
              <w:t xml:space="preserve">            </w:t>
            </w:r>
            <w:r>
              <w:rPr>
                <w:rFonts w:hint="eastAsia"/>
                <w:sz w:val="24"/>
                <w:szCs w:val="24"/>
              </w:rPr>
              <w:t>陪同人员：何妙仙</w:t>
            </w:r>
          </w:p>
        </w:tc>
        <w:tc>
          <w:tcPr>
            <w:tcW w:w="15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3" w:type="dxa"/>
            <w:gridSpan w:val="2"/>
            <w:vMerge w:val="continue"/>
            <w:vAlign w:val="center"/>
          </w:tcPr>
          <w:p/>
        </w:tc>
        <w:tc>
          <w:tcPr>
            <w:tcW w:w="960" w:type="dxa"/>
            <w:gridSpan w:val="2"/>
            <w:vMerge w:val="continue"/>
            <w:vAlign w:val="center"/>
          </w:tcPr>
          <w:p/>
        </w:tc>
        <w:tc>
          <w:tcPr>
            <w:tcW w:w="10000" w:type="dxa"/>
            <w:gridSpan w:val="2"/>
            <w:vAlign w:val="center"/>
          </w:tcPr>
          <w:p>
            <w:pPr>
              <w:spacing w:before="120"/>
            </w:pPr>
            <w:r>
              <w:rPr>
                <w:rFonts w:hint="eastAsia"/>
                <w:sz w:val="24"/>
                <w:szCs w:val="24"/>
              </w:rPr>
              <w:t xml:space="preserve">审核员：肖新龙   </w:t>
            </w:r>
            <w:r>
              <w:rPr>
                <w:sz w:val="24"/>
                <w:szCs w:val="24"/>
              </w:rPr>
              <w:t xml:space="preserve">            </w:t>
            </w:r>
            <w:r>
              <w:rPr>
                <w:rFonts w:hint="eastAsia"/>
                <w:sz w:val="24"/>
                <w:szCs w:val="24"/>
              </w:rPr>
              <w:t>审核日期：</w:t>
            </w:r>
            <w:r>
              <w:rPr>
                <w:sz w:val="24"/>
                <w:szCs w:val="24"/>
              </w:rPr>
              <w:t xml:space="preserve"> 202</w:t>
            </w:r>
            <w:r>
              <w:rPr>
                <w:rFonts w:hint="eastAsia"/>
                <w:sz w:val="24"/>
                <w:szCs w:val="24"/>
              </w:rPr>
              <w:t>1-0</w:t>
            </w:r>
            <w:r>
              <w:rPr>
                <w:sz w:val="24"/>
                <w:szCs w:val="24"/>
              </w:rPr>
              <w:t>6</w:t>
            </w:r>
            <w:r>
              <w:rPr>
                <w:rFonts w:hint="eastAsia"/>
                <w:sz w:val="24"/>
                <w:szCs w:val="24"/>
              </w:rPr>
              <w:t>-</w:t>
            </w:r>
            <w:r>
              <w:rPr>
                <w:sz w:val="24"/>
                <w:szCs w:val="24"/>
              </w:rPr>
              <w:t>16</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3" w:type="dxa"/>
            <w:gridSpan w:val="2"/>
            <w:vMerge w:val="continue"/>
            <w:vAlign w:val="center"/>
          </w:tcPr>
          <w:p/>
        </w:tc>
        <w:tc>
          <w:tcPr>
            <w:tcW w:w="960" w:type="dxa"/>
            <w:gridSpan w:val="2"/>
            <w:vMerge w:val="continue"/>
            <w:vAlign w:val="center"/>
          </w:tcPr>
          <w:p/>
        </w:tc>
        <w:tc>
          <w:tcPr>
            <w:tcW w:w="10000" w:type="dxa"/>
            <w:gridSpan w:val="2"/>
            <w:vAlign w:val="center"/>
          </w:tcPr>
          <w:p>
            <w:pPr>
              <w:tabs>
                <w:tab w:val="left" w:pos="709"/>
              </w:tabs>
              <w:ind w:right="57"/>
              <w:jc w:val="left"/>
              <w:rPr>
                <w:szCs w:val="21"/>
              </w:rPr>
            </w:pPr>
            <w:r>
              <w:rPr>
                <w:rFonts w:hint="eastAsia"/>
                <w:sz w:val="24"/>
                <w:szCs w:val="24"/>
              </w:rPr>
              <w:t>审核条款：</w:t>
            </w:r>
            <w:r>
              <w:rPr>
                <w:rFonts w:hint="eastAsia"/>
                <w:szCs w:val="21"/>
              </w:rPr>
              <w:t>FSMS：4.1/4.2/4.3/4.4/5.1/5.2/5.3/6.1/6.2/6.3/7.1.1/</w:t>
            </w:r>
            <w:r>
              <w:rPr>
                <w:szCs w:val="21"/>
              </w:rPr>
              <w:t>7.4</w:t>
            </w:r>
            <w:r>
              <w:rPr>
                <w:rFonts w:hint="eastAsia"/>
                <w:szCs w:val="21"/>
              </w:rPr>
              <w:t>/9.1.1</w:t>
            </w:r>
            <w:r>
              <w:rPr>
                <w:szCs w:val="21"/>
              </w:rPr>
              <w:t>/</w:t>
            </w:r>
            <w:r>
              <w:rPr>
                <w:rFonts w:hint="eastAsia"/>
                <w:szCs w:val="21"/>
              </w:rPr>
              <w:t>9.3/10.2/10.3</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理解组织及其环境</w:t>
            </w:r>
          </w:p>
        </w:tc>
        <w:tc>
          <w:tcPr>
            <w:tcW w:w="960" w:type="dxa"/>
            <w:gridSpan w:val="2"/>
            <w:vMerge w:val="restart"/>
          </w:tcPr>
          <w:p>
            <w:r>
              <w:rPr>
                <w:rFonts w:hint="eastAsia"/>
              </w:rPr>
              <w:t>F4.1</w:t>
            </w:r>
          </w:p>
        </w:tc>
        <w:tc>
          <w:tcPr>
            <w:tcW w:w="745" w:type="dxa"/>
          </w:tcPr>
          <w:p>
            <w:r>
              <w:rPr>
                <w:rFonts w:hint="eastAsia"/>
              </w:rPr>
              <w:t>文件名称</w:t>
            </w:r>
          </w:p>
        </w:tc>
        <w:tc>
          <w:tcPr>
            <w:tcW w:w="9255" w:type="dxa"/>
          </w:tcPr>
          <w:p>
            <w:r>
              <w:rPr>
                <w:rFonts w:hint="eastAsia"/>
              </w:rPr>
              <w:t>如：</w:t>
            </w:r>
            <w:r>
              <w:rPr/>
              <w:sym w:font="Wingdings" w:char="00FE"/>
            </w:r>
            <w:r>
              <w:rPr>
                <w:rFonts w:hint="eastAsia"/>
              </w:rPr>
              <w:t>管理手册第4.1条款、</w:t>
            </w:r>
            <w:r>
              <w:rPr/>
              <w:sym w:font="Wingdings" w:char="00FE"/>
            </w:r>
            <w:r>
              <w:rPr>
                <w:rFonts w:hint="eastAsia"/>
              </w:rPr>
              <w:t>组织内外部环境要素识别表</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A3"/>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A3"/>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r>
                    <w:rPr>
                      <w:rFonts w:hint="eastAsia"/>
                    </w:rPr>
                    <w:t>国家目前重视均衡营养配餐、各企业是单位也是大力关注员工的饮食，对餐品的食品安全方面关注度高，为企业提供了良好的发展方向。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r>
                    <w:rPr>
                      <w:rFonts w:hint="eastAsia"/>
                    </w:rPr>
                    <w:t>拥有良好的客户资源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组织优势说明</w:t>
                  </w:r>
                </w:p>
              </w:tc>
              <w:tc>
                <w:tcPr>
                  <w:tcW w:w="7375" w:type="dxa"/>
                </w:tcPr>
                <w:p>
                  <w:r>
                    <w:rPr>
                      <w:rFonts w:hint="eastAsia"/>
                    </w:rPr>
                    <w:t>具有稳定的供应链和客户资源，价格方面也有竞争优势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组织劣势说明</w:t>
                  </w:r>
                </w:p>
              </w:tc>
              <w:tc>
                <w:tcPr>
                  <w:tcW w:w="7375" w:type="dxa"/>
                </w:tcPr>
                <w:p>
                  <w:pPr>
                    <w:rPr>
                      <w:rFonts w:ascii="宋体" w:hAnsi="宋体"/>
                      <w:kern w:val="0"/>
                      <w:szCs w:val="21"/>
                    </w:rPr>
                  </w:pPr>
                  <w:r>
                    <w:rPr>
                      <w:rFonts w:hint="eastAsia" w:ascii="宋体" w:hAnsi="宋体"/>
                      <w:kern w:val="0"/>
                      <w:szCs w:val="21"/>
                    </w:rPr>
                    <w:t>人员整体知识水平不够，对食品安全等方面的知识仍需不断学习。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主要风险的说明</w:t>
                  </w:r>
                </w:p>
              </w:tc>
              <w:tc>
                <w:tcPr>
                  <w:tcW w:w="7375" w:type="dxa"/>
                </w:tcPr>
                <w:p>
                  <w:r>
                    <w:rPr>
                      <w:rFonts w:hint="eastAsia"/>
                    </w:rPr>
                    <w:t>外部环境（机关单位或相关方）运行异常/变化要求对本公司的威胁，</w:t>
                  </w:r>
                  <w:r>
                    <w:rPr>
                      <w:rFonts w:hint="eastAsia" w:ascii="宋体" w:hAnsi="宋体" w:cs="宋体"/>
                      <w:bCs/>
                      <w:szCs w:val="21"/>
                    </w:rPr>
                    <w:t>食材价格的上涨，受疫情情况影响较大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机遇的说明</w:t>
                  </w:r>
                </w:p>
              </w:tc>
              <w:tc>
                <w:tcPr>
                  <w:tcW w:w="7375" w:type="dxa"/>
                </w:tcPr>
                <w:p>
                  <w:r>
                    <w:rPr>
                      <w:rFonts w:hint="eastAsia" w:ascii="宋体" w:hAnsi="宋体" w:cs="宋体"/>
                      <w:szCs w:val="21"/>
                    </w:rPr>
                    <w:t>现有客户资源较稳定，与供应商保持良好合作关系，市场需求不断提高，利用现有资源，开发及扩大市场，扩大服务范围</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w:t>
            </w:r>
            <w:r>
              <w:rPr>
                <w:rFonts w:hint="eastAsia"/>
              </w:rPr>
              <w:t>组织内外部环境要素识别表</w:t>
            </w:r>
            <w:r>
              <w:rPr>
                <w:rFonts w:hint="eastAsia" w:ascii="宋体" w:hAnsi="宋体"/>
              </w:rPr>
              <w:t>》</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理解相关方的需求和期望</w:t>
            </w:r>
          </w:p>
        </w:tc>
        <w:tc>
          <w:tcPr>
            <w:tcW w:w="960" w:type="dxa"/>
            <w:gridSpan w:val="2"/>
            <w:vMerge w:val="restart"/>
          </w:tcPr>
          <w:p>
            <w:r>
              <w:rPr>
                <w:rFonts w:hint="eastAsia"/>
              </w:rPr>
              <w:t>F4.2</w:t>
            </w:r>
          </w:p>
        </w:tc>
        <w:tc>
          <w:tcPr>
            <w:tcW w:w="745" w:type="dxa"/>
          </w:tcPr>
          <w:p>
            <w:r>
              <w:rPr>
                <w:rFonts w:hint="eastAsia"/>
              </w:rPr>
              <w:t>文件名称</w:t>
            </w:r>
          </w:p>
        </w:tc>
        <w:tc>
          <w:tcPr>
            <w:tcW w:w="9255"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《相关方需求和期望控制程序》、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管理手册第4.2条款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 xml:space="preserve"> </w:t>
            </w:r>
          </w:p>
          <w:tbl>
            <w:tblPr>
              <w:tblStyle w:val="8"/>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887"/>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重要的相关方</w:t>
                  </w:r>
                </w:p>
              </w:tc>
              <w:tc>
                <w:tcPr>
                  <w:tcW w:w="2887" w:type="dxa"/>
                </w:tcPr>
                <w:p>
                  <w:r>
                    <w:rPr>
                      <w:rFonts w:hint="eastAsia"/>
                    </w:rPr>
                    <w:t>相关方名称举例</w:t>
                  </w:r>
                </w:p>
              </w:tc>
              <w:tc>
                <w:tcPr>
                  <w:tcW w:w="4543"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主管部门</w:t>
                  </w:r>
                </w:p>
              </w:tc>
              <w:tc>
                <w:tcPr>
                  <w:tcW w:w="2887" w:type="dxa"/>
                </w:tcPr>
                <w:p>
                  <w:r>
                    <w:rPr>
                      <w:rFonts w:hint="eastAsia"/>
                    </w:rPr>
                    <w:t>杭州市余杭区市场监督管理局</w:t>
                  </w:r>
                </w:p>
              </w:tc>
              <w:tc>
                <w:tcPr>
                  <w:tcW w:w="4543"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遵守食品安全相关的法律法规</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供方</w:t>
                  </w:r>
                </w:p>
              </w:tc>
              <w:tc>
                <w:tcPr>
                  <w:tcW w:w="2887" w:type="dxa"/>
                </w:tcPr>
                <w:p>
                  <w:r>
                    <w:rPr>
                      <w:rFonts w:hint="eastAsia"/>
                    </w:rPr>
                    <w:t>杭州马运水产贸易有限公司</w:t>
                  </w:r>
                </w:p>
                <w:p>
                  <w:pPr>
                    <w:pStyle w:val="2"/>
                    <w:rPr>
                      <w:rFonts w:hint="eastAsia"/>
                      <w:sz w:val="21"/>
                      <w:szCs w:val="20"/>
                    </w:rPr>
                  </w:pPr>
                  <w:r>
                    <w:rPr>
                      <w:sz w:val="21"/>
                      <w:szCs w:val="20"/>
                    </w:rPr>
                    <w:t>上海兆虎国际贸易有限公司</w:t>
                  </w:r>
                </w:p>
              </w:tc>
              <w:tc>
                <w:tcPr>
                  <w:tcW w:w="4543" w:type="dxa"/>
                </w:tcPr>
                <w:p>
                  <w:r>
                    <w:fldChar w:fldCharType="begin"/>
                  </w:r>
                  <w:r>
                    <w:instrText xml:space="preserve"> </w:instrText>
                  </w:r>
                  <w:r>
                    <w:rPr>
                      <w:rFonts w:hint="eastAsia"/>
                    </w:rPr>
                    <w:instrText xml:space="preserve">eq \o\ac(□,√)</w:instrText>
                  </w:r>
                  <w:r>
                    <w:fldChar w:fldCharType="end"/>
                  </w:r>
                  <w:r>
                    <w:rPr>
                      <w:rFonts w:hint="eastAsia"/>
                    </w:rPr>
                    <w:t>组织的持续经营、明示食品安全采购要求</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☑顾客</w:t>
                  </w:r>
                </w:p>
              </w:tc>
              <w:tc>
                <w:tcPr>
                  <w:tcW w:w="2887" w:type="dxa"/>
                </w:tcPr>
                <w:p>
                  <w:r>
                    <w:rPr>
                      <w:rFonts w:hint="eastAsia"/>
                    </w:rPr>
                    <w:t>杭州海华大酒店</w:t>
                  </w:r>
                </w:p>
                <w:p>
                  <w:pPr>
                    <w:pStyle w:val="2"/>
                  </w:pPr>
                  <w:r>
                    <w:rPr>
                      <w:rFonts w:hint="eastAsia"/>
                    </w:rPr>
                    <w:t>浙江饭店有限责任公司</w:t>
                  </w:r>
                </w:p>
                <w:p>
                  <w:pPr>
                    <w:pStyle w:val="2"/>
                    <w:rPr>
                      <w:rFonts w:hint="eastAsia"/>
                    </w:rPr>
                  </w:pPr>
                  <w:r>
                    <w:rPr>
                      <w:rFonts w:hint="eastAsia"/>
                    </w:rPr>
                    <w:t>杭州三台山庄</w:t>
                  </w:r>
                </w:p>
              </w:tc>
              <w:tc>
                <w:tcPr>
                  <w:tcW w:w="4543"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按时按质按量交付产品或服务；</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产品/服务质量持续满足要求</w:t>
                  </w:r>
                </w:p>
                <w:p>
                  <w:pPr>
                    <w:ind w:left="210" w:hanging="210" w:hangingChars="100"/>
                  </w:pPr>
                  <w:r>
                    <w:rPr>
                      <w:rFonts w:hint="eastAsia"/>
                    </w:rPr>
                    <w:t>☑不因食品安全问题影响按时按质按量交付产品或服务；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消费者</w:t>
                  </w:r>
                </w:p>
              </w:tc>
              <w:tc>
                <w:tcPr>
                  <w:tcW w:w="2887" w:type="dxa"/>
                </w:tcPr>
                <w:p>
                  <w:r>
                    <w:rPr>
                      <w:rFonts w:hint="eastAsia"/>
                    </w:rPr>
                    <w:t>普通消费者</w:t>
                  </w:r>
                </w:p>
              </w:tc>
              <w:tc>
                <w:tcPr>
                  <w:tcW w:w="4543" w:type="dxa"/>
                </w:tcPr>
                <w:p>
                  <w:r>
                    <w:rPr>
                      <w:rFonts w:hint="eastAsia"/>
                    </w:rPr>
                    <w:t>☑良好的使用感受</w:t>
                  </w:r>
                </w:p>
                <w:p>
                  <w:r>
                    <w:rPr>
                      <w:rFonts w:hint="eastAsia"/>
                    </w:rPr>
                    <w:t>☑不因食品安全问题带来健康损害和生命威胁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rPr>
                    <w:sym w:font="Wingdings 2" w:char="0052"/>
                  </w:r>
                  <w:r>
                    <w:rPr>
                      <w:rFonts w:hint="eastAsia"/>
                    </w:rPr>
                    <w:t>员工</w:t>
                  </w:r>
                </w:p>
              </w:tc>
              <w:tc>
                <w:tcPr>
                  <w:tcW w:w="2887" w:type="dxa"/>
                </w:tcPr>
                <w:p>
                  <w:pPr>
                    <w:rPr>
                      <w:szCs w:val="24"/>
                    </w:rPr>
                  </w:pPr>
                  <w:r>
                    <w:rPr>
                      <w:rFonts w:hint="eastAsia"/>
                      <w:szCs w:val="24"/>
                    </w:rPr>
                    <w:t>雇员</w:t>
                  </w:r>
                </w:p>
              </w:tc>
              <w:tc>
                <w:tcPr>
                  <w:tcW w:w="4543" w:type="dxa"/>
                </w:tcPr>
                <w:p>
                  <w:r>
                    <w:rPr>
                      <w:rFonts w:hint="eastAsia"/>
                    </w:rPr>
                    <w:t>☑组织的持续经营、自我发展</w:t>
                  </w:r>
                </w:p>
                <w:p>
                  <w:r>
                    <w:rPr>
                      <w:rFonts w:hint="eastAsia"/>
                    </w:rPr>
                    <w:t>☑不因食品安全问题停产，组织持续经营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投资方</w:t>
                  </w:r>
                </w:p>
              </w:tc>
              <w:tc>
                <w:tcPr>
                  <w:tcW w:w="2887" w:type="dxa"/>
                </w:tcPr>
                <w:p>
                  <w:r>
                    <w:rPr>
                      <w:rFonts w:hint="eastAsia"/>
                    </w:rPr>
                    <w:t>自然人</w:t>
                  </w:r>
                </w:p>
              </w:tc>
              <w:tc>
                <w:tcPr>
                  <w:tcW w:w="4543"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组织的持续经营、盈利</w:t>
                  </w:r>
                </w:p>
                <w:p>
                  <w:r>
                    <w:rPr>
                      <w:rFonts w:hint="eastAsia"/>
                    </w:rPr>
                    <w:sym w:font="Wingdings 2" w:char="0052"/>
                  </w:r>
                  <w:r>
                    <w:rPr>
                      <w:rFonts w:hint="eastAsia"/>
                    </w:rPr>
                    <w:t>不因食品安全问题停产，组织持续经营、盈利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A3"/>
                  </w:r>
                  <w:r>
                    <w:rPr>
                      <w:rFonts w:hint="eastAsia"/>
                    </w:rPr>
                    <w:t>社区</w:t>
                  </w:r>
                </w:p>
              </w:tc>
              <w:tc>
                <w:tcPr>
                  <w:tcW w:w="2887" w:type="dxa"/>
                </w:tcPr>
                <w:p>
                  <w:r>
                    <w:rPr>
                      <w:rFonts w:hint="eastAsia"/>
                    </w:rPr>
                    <w:t>——</w:t>
                  </w:r>
                </w:p>
              </w:tc>
              <w:tc>
                <w:tcPr>
                  <w:tcW w:w="4543" w:type="dxa"/>
                </w:tcPr>
                <w:p>
                  <w:r>
                    <w:rPr>
                      <w:rFonts w:hint="eastAsia"/>
                    </w:rPr>
                    <w:sym w:font="Wingdings 2" w:char="00A3"/>
                  </w:r>
                  <w:r>
                    <w:rPr>
                      <w:rFonts w:hint="eastAsia"/>
                    </w:rPr>
                    <w:t>不因食品安全问题影响周围人员的就业</w:t>
                  </w:r>
                </w:p>
                <w:p>
                  <w:r>
                    <w:rPr>
                      <w:rFonts w:hint="eastAsia"/>
                    </w:rPr>
                    <w:sym w:font="Wingdings 2" w:char="00A3"/>
                  </w:r>
                  <w:r>
                    <w:rPr>
                      <w:rFonts w:hint="eastAsia"/>
                    </w:rPr>
                    <w:t>不因为油烟影响到周围社区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887" w:type="dxa"/>
                </w:tcPr>
                <w:p/>
              </w:tc>
              <w:tc>
                <w:tcPr>
                  <w:tcW w:w="4543" w:type="dxa"/>
                </w:tcPr>
                <w:p/>
              </w:tc>
            </w:tr>
          </w:tbl>
          <w:p>
            <w:pPr>
              <w:rPr>
                <w:color w:val="000000"/>
                <w:szCs w:val="21"/>
              </w:rPr>
            </w:pPr>
          </w:p>
          <w:p>
            <w:pPr>
              <w:rPr>
                <w:color w:val="000000"/>
                <w:szCs w:val="21"/>
              </w:rPr>
            </w:pPr>
            <w:r>
              <w:rPr>
                <w:rFonts w:hint="eastAsia"/>
                <w:color w:val="000000"/>
                <w:szCs w:val="21"/>
              </w:rPr>
              <w:t>主要证据体现在</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《相关方期望要求识别表》、</w:t>
            </w:r>
            <w:r>
              <w:rPr>
                <w:rFonts w:hint="eastAsia"/>
              </w:rPr>
              <w:sym w:font="Wingdings" w:char="00A8"/>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确定食品安全管理体系的范围</w:t>
            </w:r>
          </w:p>
        </w:tc>
        <w:tc>
          <w:tcPr>
            <w:tcW w:w="960" w:type="dxa"/>
            <w:gridSpan w:val="2"/>
            <w:vMerge w:val="restart"/>
          </w:tcPr>
          <w:p>
            <w:r>
              <w:rPr>
                <w:rFonts w:hint="eastAsia"/>
              </w:rPr>
              <w:t>F4.3</w:t>
            </w:r>
          </w:p>
        </w:tc>
        <w:tc>
          <w:tcPr>
            <w:tcW w:w="745" w:type="dxa"/>
          </w:tcPr>
          <w:p>
            <w:r>
              <w:rPr>
                <w:rFonts w:hint="eastAsia"/>
              </w:rPr>
              <w:t>文件名称</w:t>
            </w:r>
          </w:p>
        </w:tc>
        <w:tc>
          <w:tcPr>
            <w:tcW w:w="9255" w:type="dxa"/>
          </w:tcPr>
          <w:p>
            <w:r>
              <w:rPr>
                <w:rFonts w:hint="eastAsia"/>
              </w:rPr>
              <w:t>如：管理手册第4.3条款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r>
              <w:rPr>
                <w:rFonts w:hint="eastAsia"/>
              </w:rPr>
              <w:t>组织应明确相关管理体系的范围；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54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5446" w:type="dxa"/>
                </w:tcPr>
                <w:p>
                  <w:r>
                    <w:rPr>
                      <w:rFonts w:hint="eastAsia"/>
                    </w:rPr>
                    <w:t>内容描述</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5446" w:type="dxa"/>
                </w:tcPr>
                <w:p>
                  <w:pPr>
                    <w:rPr>
                      <w:szCs w:val="21"/>
                    </w:rPr>
                  </w:pPr>
                  <w:r>
                    <w:rPr>
                      <w:rFonts w:hint="eastAsia"/>
                      <w:b/>
                      <w:color w:val="000000" w:themeColor="text1"/>
                      <w:szCs w:val="21"/>
                      <w14:textFill>
                        <w14:solidFill>
                          <w14:schemeClr w14:val="tx1"/>
                        </w14:solidFill>
                      </w14:textFill>
                    </w:rPr>
                    <w:t>冷冻水产和鲜活水产的销售（运输和贮藏）</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 xml:space="preserve">审核范围描述 </w:t>
                  </w:r>
                </w:p>
              </w:tc>
              <w:tc>
                <w:tcPr>
                  <w:tcW w:w="5446" w:type="dxa"/>
                </w:tcPr>
                <w:p>
                  <w:pPr>
                    <w:autoSpaceDE w:val="0"/>
                    <w:autoSpaceDN w:val="0"/>
                    <w:adjustRightInd w:val="0"/>
                    <w:jc w:val="left"/>
                  </w:pPr>
                  <w:r>
                    <w:rPr>
                      <w:rFonts w:hint="eastAsia"/>
                    </w:rPr>
                    <w:t>位于浙江省杭州市余杭区良渚街道新港村杭州苕顺农副产品有限公司分拣区的冷冻水产和鲜活水产的销售（运输和贮藏）</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注册地址</w:t>
                  </w:r>
                </w:p>
              </w:tc>
              <w:tc>
                <w:tcPr>
                  <w:tcW w:w="5446" w:type="dxa"/>
                </w:tcPr>
                <w:p>
                  <w:pPr>
                    <w:rPr>
                      <w:sz w:val="18"/>
                      <w:szCs w:val="18"/>
                    </w:rPr>
                  </w:pPr>
                  <w:r>
                    <w:rPr>
                      <w:rFonts w:hint="eastAsia"/>
                    </w:rPr>
                    <w:t>浙江省杭州市余杭区良渚街道新港村</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11" w:type="dxa"/>
                </w:tcPr>
                <w:p>
                  <w:r>
                    <w:rPr>
                      <w:rFonts w:hint="eastAsia"/>
                    </w:rPr>
                    <w:t>经营地址</w:t>
                  </w:r>
                </w:p>
              </w:tc>
              <w:tc>
                <w:tcPr>
                  <w:tcW w:w="5446" w:type="dxa"/>
                </w:tcPr>
                <w:p>
                  <w:pPr>
                    <w:rPr>
                      <w:sz w:val="18"/>
                      <w:szCs w:val="18"/>
                    </w:rPr>
                  </w:pPr>
                  <w:r>
                    <w:rPr>
                      <w:rFonts w:hint="eastAsia"/>
                    </w:rPr>
                    <w:t>浙江省杭州市余杭区良渚街道新港村</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临时现场</w:t>
                  </w:r>
                </w:p>
              </w:tc>
              <w:tc>
                <w:tcPr>
                  <w:tcW w:w="5446" w:type="dxa"/>
                </w:tcPr>
                <w:p>
                  <w:r>
                    <w:rPr>
                      <w:rFonts w:hint="eastAsia"/>
                    </w:rPr>
                    <w:t>——</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多场所</w:t>
                  </w:r>
                </w:p>
              </w:tc>
              <w:tc>
                <w:tcPr>
                  <w:tcW w:w="5446" w:type="dxa"/>
                </w:tcPr>
                <w:p>
                  <w:r>
                    <w:rPr>
                      <w:rFonts w:hint="eastAsia"/>
                    </w:rPr>
                    <w:t>——</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544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r>
                    <w:rPr>
                      <w:u w:val="single"/>
                    </w:rPr>
                    <w:t xml:space="preserve">   </w:t>
                  </w:r>
                  <w:r>
                    <w:rPr>
                      <w:rFonts w:hint="eastAsia"/>
                      <w:u w:val="single"/>
                    </w:rPr>
                    <w:t xml:space="preserve">   </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5446" w:type="dxa"/>
                </w:tcPr>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近一年以来，2021.</w:t>
                  </w:r>
                  <w:r>
                    <w:rPr>
                      <w:rFonts w:hint="eastAsia"/>
                      <w:lang w:val="en-US" w:eastAsia="zh-CN"/>
                    </w:rPr>
                    <w:t>3.15</w:t>
                  </w:r>
                </w:p>
                <w:p>
                  <w:r>
                    <w:rPr>
                      <w:rFonts w:hint="eastAsia"/>
                    </w:rPr>
                    <w:sym w:font="Wingdings" w:char="00A8"/>
                  </w:r>
                </w:p>
              </w:tc>
              <w:tc>
                <w:tcPr>
                  <w:tcW w:w="1686" w:type="dxa"/>
                </w:tcPr>
                <w:p/>
              </w:tc>
            </w:tr>
          </w:tbl>
          <w:p/>
          <w:p>
            <w:pPr>
              <w:rPr>
                <w:color w:val="000000"/>
                <w:szCs w:val="21"/>
              </w:rPr>
            </w:pPr>
            <w:r>
              <w:rPr>
                <w:rFonts w:hint="eastAsia"/>
                <w:color w:val="000000"/>
                <w:szCs w:val="21"/>
              </w:rPr>
              <w:t>在企业的管理手册中有描述。</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pPr>
              <w:jc w:val="left"/>
            </w:pPr>
            <w:r>
              <w:rPr>
                <w:rFonts w:hint="eastAsia"/>
              </w:rPr>
              <w:t>食品安全管理体系及其过程</w:t>
            </w:r>
          </w:p>
        </w:tc>
        <w:tc>
          <w:tcPr>
            <w:tcW w:w="960" w:type="dxa"/>
            <w:gridSpan w:val="2"/>
            <w:vMerge w:val="restart"/>
          </w:tcPr>
          <w:p>
            <w:r>
              <w:rPr>
                <w:rFonts w:hint="eastAsia"/>
              </w:rPr>
              <w:t xml:space="preserve"> F4.4 </w:t>
            </w:r>
          </w:p>
        </w:tc>
        <w:tc>
          <w:tcPr>
            <w:tcW w:w="745" w:type="dxa"/>
          </w:tcPr>
          <w:p>
            <w:r>
              <w:rPr>
                <w:rFonts w:hint="eastAsia"/>
              </w:rPr>
              <w:t>文件名称</w:t>
            </w:r>
          </w:p>
        </w:tc>
        <w:tc>
          <w:tcPr>
            <w:tcW w:w="9255"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管理手册第4.4条款、</w:t>
            </w:r>
            <w:r>
              <w:rPr/>
              <w:sym w:font="Wingdings" w:char="00A8"/>
            </w:r>
            <w:r>
              <w:rPr>
                <w:rFonts w:hint="eastAsia"/>
              </w:rPr>
              <w:t>《过程清单》</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jc w:val="left"/>
            </w:pPr>
          </w:p>
          <w:p>
            <w:pPr>
              <w:spacing w:before="40" w:after="40"/>
              <w:jc w:val="left"/>
            </w:pPr>
            <w:r>
              <w:rPr>
                <w:rFonts w:hint="eastAsia"/>
              </w:rPr>
              <w:t>FSMS：</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52"/>
            </w:r>
            <w:r>
              <w:rPr>
                <w:rFonts w:hint="eastAsia"/>
              </w:rPr>
              <w:t>其他（车辆管理）</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pPr>
            <w:r>
              <w:rPr>
                <w:rFonts w:hint="eastAsia"/>
              </w:rPr>
              <w:t>□设备维修   □人员培训 □PRP和OPRP、HACCP验证  ☑其他—无外包</w:t>
            </w:r>
          </w:p>
          <w:p>
            <w:pPr>
              <w:spacing w:before="40" w:after="40"/>
            </w:pPr>
            <w:r>
              <w:rPr>
                <w:rFonts w:hint="eastAsia"/>
              </w:rPr>
              <w:t xml:space="preserve"> </w:t>
            </w:r>
          </w:p>
          <w:p>
            <w:pPr>
              <w:spacing w:before="40" w:after="40"/>
              <w:rPr>
                <w:highlight w:val="cyan"/>
              </w:rPr>
            </w:pPr>
            <w:r>
              <w:rPr>
                <w:rFonts w:hint="eastAsia"/>
                <w:lang w:val="en-GB"/>
              </w:rPr>
              <w:t>组织通过</w:t>
            </w:r>
            <w:r>
              <w:rPr>
                <w:rFonts w:hint="eastAsia"/>
              </w:rPr>
              <w:t>食品安全</w:t>
            </w:r>
            <w:r>
              <w:rPr>
                <w:rFonts w:hint="eastAsia"/>
                <w:lang w:val="en-GB"/>
              </w:rPr>
              <w:t>目标的建立、实施、顾客满意的测量、内审和管理评审等方式，充分地</w:t>
            </w:r>
            <w:r>
              <w:rPr>
                <w:rFonts w:hint="eastAsia"/>
              </w:rPr>
              <w:t>评审，管理及</w:t>
            </w:r>
            <w:r>
              <w:rPr>
                <w:rFonts w:hint="eastAsia"/>
                <w:lang w:val="en-GB"/>
              </w:rPr>
              <w:t>控制这些</w:t>
            </w:r>
            <w:r>
              <w:rPr>
                <w:rFonts w:hint="eastAsia"/>
              </w:rPr>
              <w:t>管理体系覆盖的过程</w:t>
            </w:r>
            <w:r>
              <w:rPr>
                <w:rFonts w:hint="eastAsia"/>
                <w:lang w:val="en-GB"/>
              </w:rPr>
              <w:t>和活动</w:t>
            </w:r>
            <w:r>
              <w:rPr>
                <w:rFonts w:hint="eastAsia"/>
              </w:rPr>
              <w:t>。</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领导作用与承诺</w:t>
            </w:r>
          </w:p>
        </w:tc>
        <w:tc>
          <w:tcPr>
            <w:tcW w:w="960" w:type="dxa"/>
            <w:gridSpan w:val="2"/>
            <w:vMerge w:val="restart"/>
          </w:tcPr>
          <w:p>
            <w:r>
              <w:rPr>
                <w:rFonts w:hint="eastAsia"/>
              </w:rPr>
              <w:t>F5.1</w:t>
            </w:r>
          </w:p>
        </w:tc>
        <w:tc>
          <w:tcPr>
            <w:tcW w:w="745" w:type="dxa"/>
          </w:tcPr>
          <w:p>
            <w:r>
              <w:rPr>
                <w:rFonts w:hint="eastAsia"/>
              </w:rPr>
              <w:t>文件名称</w:t>
            </w:r>
          </w:p>
        </w:tc>
        <w:tc>
          <w:tcPr>
            <w:tcW w:w="9255" w:type="dxa"/>
          </w:tcPr>
          <w:p>
            <w:r>
              <w:rPr>
                <w:rFonts w:hint="eastAsia"/>
              </w:rPr>
              <w:t>如：</w:t>
            </w:r>
            <w:r>
              <w:rPr/>
              <w:sym w:font="Wingdings" w:char="00FE"/>
            </w:r>
            <w:r>
              <w:rPr>
                <w:rFonts w:hint="eastAsia"/>
              </w:rPr>
              <w:t>管理手册第5.1条款  和“0.5各部门及岗位职责”</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b/>
                <w:bCs/>
                <w:color w:val="000000"/>
                <w:szCs w:val="21"/>
              </w:rPr>
              <w:t xml:space="preserve"> 确保为食品安全管理体系制定食品安全方针和食品安全目标， 并与组织的战略方向相一致；</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 符合食品安全管理体系要求、 法律法规要求和与食品安全有关的顾客要求</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确保对FSMS进行评估和保持，以实现其预期结果</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pPr>
              <w:snapToGrid w:val="0"/>
              <w:spacing w:line="240" w:lineRule="atLeast"/>
              <w:rPr>
                <w:rFonts w:ascii="黑体" w:eastAsia="黑体"/>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食品安全方针</w:t>
            </w:r>
          </w:p>
        </w:tc>
        <w:tc>
          <w:tcPr>
            <w:tcW w:w="960" w:type="dxa"/>
            <w:gridSpan w:val="2"/>
            <w:vMerge w:val="restart"/>
          </w:tcPr>
          <w:p>
            <w:r>
              <w:rPr>
                <w:rFonts w:hint="eastAsia"/>
              </w:rPr>
              <w:t>F5.2</w:t>
            </w:r>
          </w:p>
        </w:tc>
        <w:tc>
          <w:tcPr>
            <w:tcW w:w="745" w:type="dxa"/>
          </w:tcPr>
          <w:p>
            <w:r>
              <w:rPr>
                <w:rFonts w:hint="eastAsia"/>
              </w:rPr>
              <w:t>文件名称</w:t>
            </w:r>
          </w:p>
        </w:tc>
        <w:tc>
          <w:tcPr>
            <w:tcW w:w="9255"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管理手册第5.2条款  和“0.2 食品安全方针、目标”</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u w:val="single"/>
              </w:rPr>
            </w:pPr>
            <w:r>
              <w:rPr>
                <w:rFonts w:hint="eastAsia"/>
                <w:color w:val="000000"/>
                <w:szCs w:val="21"/>
              </w:rPr>
              <w:t xml:space="preserve"> </w:t>
            </w:r>
            <w:r>
              <w:rPr>
                <w:rFonts w:hint="eastAsia"/>
              </w:rPr>
              <w:t>最高管理者制定了文件化的管理体系方针：</w:t>
            </w:r>
          </w:p>
          <w:p>
            <w:pPr>
              <w:pStyle w:val="6"/>
              <w:ind w:left="0" w:firstLine="0" w:firstLineChars="0"/>
              <w:rPr>
                <w:rFonts w:cs="宋体-PUA"/>
                <w:sz w:val="24"/>
                <w:u w:val="single"/>
              </w:rPr>
            </w:pPr>
            <w:r>
              <w:rPr>
                <w:rFonts w:hint="eastAsia" w:cs="宋体-PUA"/>
                <w:sz w:val="24"/>
              </w:rPr>
              <w:t>质量和食品安全方针</w:t>
            </w:r>
            <w:r>
              <w:rPr>
                <w:rFonts w:hint="eastAsia" w:cs="宋体-PUA"/>
                <w:sz w:val="24"/>
                <w:u w:val="single"/>
              </w:rPr>
              <w:t>：顾客至上、</w:t>
            </w:r>
            <w:r>
              <w:rPr>
                <w:rFonts w:hint="eastAsia" w:cs="宋体"/>
                <w:sz w:val="24"/>
                <w:u w:val="single"/>
              </w:rPr>
              <w:t>诚信为本</w:t>
            </w:r>
            <w:r>
              <w:rPr>
                <w:rFonts w:hint="eastAsia" w:cs="宋体-PUA"/>
                <w:sz w:val="24"/>
                <w:u w:val="single"/>
              </w:rPr>
              <w:t>、品质优良、实力打造品牌，信誉铸就辉煌！</w:t>
            </w:r>
          </w:p>
          <w:p>
            <w:pPr>
              <w:pStyle w:val="6"/>
              <w:rPr>
                <w:rFonts w:hint="eastAsia"/>
              </w:rPr>
            </w:pP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适应组织的宗旨和环境并支持其战略方向</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包括满足适用要求的承诺； </w:t>
            </w:r>
          </w:p>
          <w:p>
            <w:r>
              <w:rPr>
                <w:rFonts w:hint="eastAsia"/>
              </w:rPr>
              <w:t>☑包括满足适用食品安全要求的承诺，包括立法/执法要求和顾客的相互同意的食品安全要求（FSMS）</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包括持续改进质量管理体系的承诺</w:t>
            </w:r>
          </w:p>
          <w:p>
            <w:r>
              <w:rPr>
                <w:rFonts w:hint="eastAsia"/>
              </w:rPr>
              <w:t>☑应对内部和外部沟通（FSMS）</w:t>
            </w:r>
          </w:p>
          <w:p>
            <w:r>
              <w:rPr>
                <w:rFonts w:hint="eastAsia"/>
              </w:rPr>
              <w:t>☑解决需求确保食品安全相关的能力（FSMS）</w:t>
            </w:r>
          </w:p>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展板  </w:t>
            </w:r>
            <w:r>
              <w:rPr>
                <w:rFonts w:hint="eastAsia"/>
              </w:rPr>
              <w:sym w:font="Wingdings" w:char="00A8"/>
            </w:r>
            <w:r>
              <w:rPr>
                <w:rFonts w:hint="eastAsia"/>
              </w:rPr>
              <w:t xml:space="preserve">标语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会议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文件发放   </w:t>
            </w:r>
            <w:r>
              <w:rPr>
                <w:rFonts w:hint="eastAsia"/>
              </w:rPr>
              <w:sym w:font="Wingdings" w:char="00A8"/>
            </w:r>
            <w:r>
              <w:rPr>
                <w:rFonts w:hint="eastAsia"/>
              </w:rPr>
              <w:t xml:space="preserve">其他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在相关方有需要时提供。通过：</w:t>
            </w:r>
            <w:r>
              <w:rPr>
                <w:rFonts w:hint="eastAsia"/>
              </w:rPr>
              <w:sym w:font="Wingdings" w:char="00A8"/>
            </w:r>
            <w:r>
              <w:rPr>
                <w:rFonts w:hint="eastAsia"/>
              </w:rPr>
              <w:t xml:space="preserve">网站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宣传册 </w:t>
            </w:r>
            <w:r>
              <w:rPr>
                <w:rFonts w:hint="eastAsia"/>
              </w:rPr>
              <w:sym w:font="Wingdings" w:char="00A8"/>
            </w:r>
            <w:r>
              <w:rPr>
                <w:rFonts w:hint="eastAsia"/>
              </w:rPr>
              <w:t>其他</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组织的岗位、职责和权限</w:t>
            </w:r>
          </w:p>
          <w:p/>
        </w:tc>
        <w:tc>
          <w:tcPr>
            <w:tcW w:w="960" w:type="dxa"/>
            <w:gridSpan w:val="2"/>
            <w:vMerge w:val="restart"/>
          </w:tcPr>
          <w:p>
            <w:r>
              <w:rPr>
                <w:rFonts w:hint="eastAsia"/>
              </w:rPr>
              <w:t>F5.3  </w:t>
            </w:r>
          </w:p>
        </w:tc>
        <w:tc>
          <w:tcPr>
            <w:tcW w:w="745" w:type="dxa"/>
          </w:tcPr>
          <w:p>
            <w:r>
              <w:rPr>
                <w:rFonts w:hint="eastAsia"/>
              </w:rPr>
              <w:t>文件名称</w:t>
            </w:r>
          </w:p>
        </w:tc>
        <w:tc>
          <w:tcPr>
            <w:tcW w:w="9255"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管理手册第5.3条款和“0.4食品安全管理体系职能分配表”</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r>
              <w:rPr>
                <w:rFonts w:hint="eastAsia"/>
              </w:rPr>
              <w:t>最高管理者确定了组织架构及相关岗位的职责、权限，并进行了全员的沟通和理解；</w:t>
            </w:r>
          </w:p>
          <w:p>
            <w:r>
              <w:rPr>
                <w:rFonts w:hint="eastAsia"/>
              </w:rPr>
              <w:t>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食品安全管理体系策划和推动</w:t>
                  </w:r>
                </w:p>
              </w:tc>
              <w:tc>
                <w:tcPr>
                  <w:tcW w:w="2261" w:type="dxa"/>
                </w:tcPr>
                <w:p>
                  <w:r>
                    <w:rPr>
                      <w:rFonts w:hint="eastAsia"/>
                    </w:rPr>
                    <w:t>食品安全小组</w:t>
                  </w:r>
                </w:p>
              </w:tc>
              <w:tc>
                <w:tcPr>
                  <w:tcW w:w="2261" w:type="dxa"/>
                </w:tcPr>
                <w:p>
                  <w:r>
                    <w:rPr>
                      <w:rFonts w:hint="eastAsia"/>
                    </w:rPr>
                    <w:t>OPRP和HACCP的实施</w:t>
                  </w:r>
                </w:p>
              </w:tc>
              <w:tc>
                <w:tcPr>
                  <w:tcW w:w="2261" w:type="dxa"/>
                </w:tcPr>
                <w:p>
                  <w:r>
                    <w:rPr>
                      <w:rFonts w:hint="eastAsia"/>
                    </w:rPr>
                    <w:t>质检部、分拣部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采购控制</w:t>
                  </w:r>
                </w:p>
              </w:tc>
              <w:tc>
                <w:tcPr>
                  <w:tcW w:w="2261" w:type="dxa"/>
                </w:tcPr>
                <w:p>
                  <w:r>
                    <w:rPr>
                      <w:rFonts w:hint="eastAsia"/>
                    </w:rPr>
                    <w:t>采购部</w:t>
                  </w:r>
                </w:p>
              </w:tc>
              <w:tc>
                <w:tcPr>
                  <w:tcW w:w="2261" w:type="dxa"/>
                </w:tcPr>
                <w:p>
                  <w:r>
                    <w:rPr>
                      <w:rFonts w:hint="eastAsia"/>
                    </w:rPr>
                    <w:t>FSMS验证和确认</w:t>
                  </w:r>
                </w:p>
              </w:tc>
              <w:tc>
                <w:tcPr>
                  <w:tcW w:w="2261" w:type="dxa"/>
                </w:tcPr>
                <w:p>
                  <w:r>
                    <w:rPr>
                      <w:rFonts w:hint="eastAsia"/>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人员健康</w:t>
                  </w:r>
                </w:p>
              </w:tc>
              <w:tc>
                <w:tcPr>
                  <w:tcW w:w="2261" w:type="dxa"/>
                </w:tcPr>
                <w:p>
                  <w:r>
                    <w:rPr>
                      <w:rFonts w:hint="eastAsia"/>
                    </w:rPr>
                    <w:t>办公室</w:t>
                  </w:r>
                </w:p>
              </w:tc>
              <w:tc>
                <w:tcPr>
                  <w:tcW w:w="2261" w:type="dxa"/>
                </w:tcPr>
                <w:p>
                  <w:r>
                    <w:rPr>
                      <w:rFonts w:hint="eastAsia"/>
                    </w:rPr>
                    <w:t>监视和测量控制</w:t>
                  </w:r>
                </w:p>
              </w:tc>
              <w:tc>
                <w:tcPr>
                  <w:tcW w:w="2261" w:type="dxa"/>
                </w:tcPr>
                <w:p>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tc>
              <w:tc>
                <w:tcPr>
                  <w:tcW w:w="2261" w:type="dxa"/>
                </w:tcPr>
                <w:p/>
              </w:tc>
              <w:tc>
                <w:tcPr>
                  <w:tcW w:w="2261" w:type="dxa"/>
                </w:tcPr>
                <w:p/>
              </w:tc>
              <w:tc>
                <w:tcPr>
                  <w:tcW w:w="2261" w:type="dxa"/>
                </w:tcPr>
                <w:p/>
              </w:tc>
            </w:tr>
          </w:tbl>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2163" w:type="dxa"/>
            <w:gridSpan w:val="2"/>
          </w:tcPr>
          <w:p/>
        </w:tc>
        <w:tc>
          <w:tcPr>
            <w:tcW w:w="960" w:type="dxa"/>
            <w:gridSpan w:val="2"/>
          </w:tcPr>
          <w:p/>
        </w:tc>
        <w:tc>
          <w:tcPr>
            <w:tcW w:w="745" w:type="dxa"/>
          </w:tcPr>
          <w:p/>
        </w:tc>
        <w:tc>
          <w:tcPr>
            <w:tcW w:w="9255" w:type="dxa"/>
          </w:tcPr>
          <w:p>
            <w:r>
              <w:rPr>
                <w:rFonts w:hint="eastAsia"/>
              </w:rPr>
              <w:sym w:font="Wingdings" w:char="00FE"/>
            </w:r>
            <w:r>
              <w:rPr>
                <w:rFonts w:hint="eastAsia"/>
              </w:rPr>
              <w:t>食品安全小组组长：</w:t>
            </w:r>
            <w:r>
              <w:rPr>
                <w:rFonts w:hint="eastAsia"/>
                <w:u w:val="single"/>
              </w:rPr>
              <w:t xml:space="preserve">  </w:t>
            </w:r>
            <w:r>
              <w:rPr>
                <w:rFonts w:hint="eastAsia" w:ascii="宋体" w:hAnsi="宋体"/>
                <w:szCs w:val="21"/>
                <w:u w:val="single"/>
              </w:rPr>
              <w:t xml:space="preserve">胡常成先生 </w:t>
            </w:r>
          </w:p>
          <w:p>
            <w:r>
              <w:t>食品安全组长负责：</w:t>
            </w:r>
          </w:p>
          <w:p>
            <w:r>
              <w:rPr>
                <w:rFonts w:hint="eastAsia"/>
              </w:rPr>
              <w:sym w:font="Wingdings" w:char="00FE"/>
            </w:r>
            <w:r>
              <w:rPr>
                <w:rFonts w:hint="eastAsia"/>
              </w:rPr>
              <w:t xml:space="preserve">  </w:t>
            </w:r>
            <w:r>
              <w:t>确保FSMS的建立、实施、维护和更新；</w:t>
            </w:r>
          </w:p>
          <w:p>
            <w:r>
              <w:rPr>
                <w:rFonts w:hint="eastAsia"/>
              </w:rPr>
              <w:sym w:font="Wingdings" w:char="00FE"/>
            </w:r>
            <w:r>
              <w:rPr>
                <w:rFonts w:hint="eastAsia"/>
              </w:rPr>
              <w:t xml:space="preserve">  </w:t>
            </w:r>
            <w:r>
              <w:t>管理和组织食品安全小组的工作；</w:t>
            </w:r>
          </w:p>
          <w:p>
            <w:r>
              <w:rPr>
                <w:rFonts w:hint="eastAsia"/>
              </w:rPr>
              <w:sym w:font="Wingdings" w:char="00FE"/>
            </w:r>
            <w:r>
              <w:rPr>
                <w:rFonts w:hint="eastAsia"/>
              </w:rPr>
              <w:t xml:space="preserve">  </w:t>
            </w:r>
            <w:r>
              <w:t>确保食品安全团队的相关培训和能力；</w:t>
            </w:r>
          </w:p>
          <w:p>
            <w:r>
              <w:rPr>
                <w:rFonts w:hint="eastAsia"/>
              </w:rPr>
              <w:sym w:font="Wingdings" w:char="00FE"/>
            </w:r>
            <w:r>
              <w:rPr>
                <w:rFonts w:hint="eastAsia"/>
              </w:rPr>
              <w:t xml:space="preserve">  </w:t>
            </w:r>
            <w:r>
              <w:t>向最高管理层报告FSMS的有效性和适宜性。</w:t>
            </w:r>
          </w:p>
          <w:p/>
          <w:p>
            <w:r>
              <w:t>所有人员有责任向</w:t>
            </w:r>
            <w:r>
              <w:rPr>
                <w:rFonts w:hint="eastAsia"/>
              </w:rPr>
              <w:sym w:font="Wingdings" w:char="00FE"/>
            </w:r>
            <w:r>
              <w:rPr>
                <w:rFonts w:hint="eastAsia"/>
              </w:rPr>
              <w:t xml:space="preserve">食品安全组长 </w:t>
            </w:r>
            <w:r>
              <w:rPr>
                <w:rFonts w:hint="eastAsia"/>
              </w:rPr>
              <w:sym w:font="Wingdings" w:char="00A8"/>
            </w:r>
            <w:r>
              <w:rPr>
                <w:rFonts w:hint="eastAsia"/>
              </w:rPr>
              <w:t xml:space="preserve">食品安全小组成员 </w:t>
            </w:r>
            <w:r>
              <w:t>报告与FSMS有关的问题</w:t>
            </w:r>
            <w:r>
              <w:rPr>
                <w:rFonts w:hint="eastAsia"/>
              </w:rPr>
              <w:t>。</w:t>
            </w:r>
          </w:p>
        </w:tc>
        <w:tc>
          <w:tcPr>
            <w:tcW w:w="15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pPr>
              <w:rPr>
                <w:color w:val="000000"/>
                <w:szCs w:val="21"/>
              </w:rPr>
            </w:pPr>
            <w:r>
              <w:rPr>
                <w:rFonts w:hint="eastAsia"/>
                <w:color w:val="000000"/>
                <w:szCs w:val="21"/>
              </w:rPr>
              <w:t>应对风险和机遇的措施</w:t>
            </w:r>
          </w:p>
          <w:p/>
        </w:tc>
        <w:tc>
          <w:tcPr>
            <w:tcW w:w="960" w:type="dxa"/>
            <w:gridSpan w:val="2"/>
            <w:vMerge w:val="restart"/>
          </w:tcPr>
          <w:p>
            <w:r>
              <w:rPr>
                <w:rFonts w:hint="eastAsia"/>
                <w:color w:val="000000"/>
                <w:szCs w:val="21"/>
              </w:rPr>
              <w:t>F6.1.1</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管理手册第6.1条款、</w:t>
            </w:r>
            <w:r>
              <w:rPr>
                <w:rFonts w:hint="eastAsia"/>
              </w:rPr>
              <w:sym w:font="Wingdings" w:char="00A8"/>
            </w:r>
            <w:r>
              <w:rPr>
                <w:rFonts w:hint="eastAsia"/>
              </w:rPr>
              <w:t>《</w:t>
            </w:r>
            <w:r>
              <w:rPr>
                <w:rFonts w:hint="eastAsia"/>
                <w:color w:val="000000"/>
                <w:szCs w:val="21"/>
              </w:rPr>
              <w:t>风险和机遇</w:t>
            </w:r>
            <w:r>
              <w:rPr>
                <w:rFonts w:hint="eastAsia"/>
              </w:rPr>
              <w:t>控制程序》</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r>
              <w:rPr>
                <w:rFonts w:hint="eastAsia"/>
              </w:rPr>
              <w:t>分析风险的方法：</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A8"/>
            </w:r>
            <w:r>
              <w:rPr>
                <w:rFonts w:hint="eastAsia"/>
              </w:rPr>
              <w:t>其他</w:t>
            </w:r>
          </w:p>
          <w:p/>
          <w:p>
            <w:r>
              <w:rPr>
                <w:rFonts w:hint="eastAsia"/>
              </w:rPr>
              <w:t xml:space="preserve">应对风险的措施类型包括：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规避风险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为寻求机遇承担风险、</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消除风险源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改变风险的可能性和后果、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分担风险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25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主要的风险描述</w:t>
                  </w:r>
                </w:p>
              </w:tc>
              <w:tc>
                <w:tcPr>
                  <w:tcW w:w="4258"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Theme="minorEastAsia" w:hAnsiTheme="minorEastAsia" w:eastAsiaTheme="minorEastAsia"/>
                      <w:szCs w:val="21"/>
                    </w:rPr>
                  </w:pPr>
                  <w:r>
                    <w:rPr>
                      <w:rFonts w:hint="eastAsia" w:asciiTheme="minorEastAsia" w:hAnsiTheme="minorEastAsia" w:eastAsiaTheme="minorEastAsia"/>
                      <w:szCs w:val="21"/>
                    </w:rPr>
                    <w:t>新冠疫</w:t>
                  </w:r>
                  <w:r>
                    <w:rPr>
                      <w:rFonts w:asciiTheme="minorEastAsia" w:hAnsiTheme="minorEastAsia" w:eastAsiaTheme="minorEastAsia"/>
                      <w:szCs w:val="21"/>
                    </w:rPr>
                    <w:t>情</w:t>
                  </w:r>
                  <w:r>
                    <w:rPr>
                      <w:rFonts w:hint="eastAsia" w:asciiTheme="minorEastAsia" w:hAnsiTheme="minorEastAsia" w:eastAsiaTheme="minorEastAsia"/>
                      <w:szCs w:val="21"/>
                    </w:rPr>
                    <w:t>导</w:t>
                  </w:r>
                  <w:r>
                    <w:rPr>
                      <w:rFonts w:asciiTheme="minorEastAsia" w:hAnsiTheme="minorEastAsia" w:eastAsiaTheme="minorEastAsia"/>
                      <w:szCs w:val="21"/>
                    </w:rPr>
                    <w:t>致</w:t>
                  </w:r>
                  <w:r>
                    <w:rPr>
                      <w:rFonts w:hint="eastAsia" w:asciiTheme="minorEastAsia" w:hAnsiTheme="minorEastAsia" w:eastAsiaTheme="minorEastAsia"/>
                      <w:szCs w:val="21"/>
                    </w:rPr>
                    <w:t>客户要货需求</w:t>
                  </w:r>
                  <w:r>
                    <w:rPr>
                      <w:rFonts w:asciiTheme="minorEastAsia" w:hAnsiTheme="minorEastAsia" w:eastAsiaTheme="minorEastAsia"/>
                      <w:szCs w:val="21"/>
                    </w:rPr>
                    <w:t>不稳定</w:t>
                  </w:r>
                </w:p>
              </w:tc>
              <w:tc>
                <w:tcPr>
                  <w:tcW w:w="4258" w:type="dxa"/>
                </w:tcPr>
                <w:p>
                  <w:pPr>
                    <w:rPr>
                      <w:rFonts w:asciiTheme="minorEastAsia" w:hAnsiTheme="minorEastAsia" w:eastAsiaTheme="minorEastAsia"/>
                      <w:szCs w:val="21"/>
                    </w:rPr>
                  </w:pPr>
                  <w:r>
                    <w:rPr>
                      <w:rFonts w:hint="eastAsia" w:asciiTheme="minorEastAsia" w:hAnsiTheme="minorEastAsia" w:eastAsiaTheme="minorEastAsia"/>
                      <w:szCs w:val="21"/>
                    </w:rPr>
                    <w:t>切</w:t>
                  </w:r>
                  <w:r>
                    <w:rPr>
                      <w:rFonts w:asciiTheme="minorEastAsia" w:hAnsiTheme="minorEastAsia" w:eastAsiaTheme="minorEastAsia"/>
                      <w:szCs w:val="21"/>
                    </w:rPr>
                    <w:t>实做好防疫措施</w:t>
                  </w:r>
                  <w:r>
                    <w:rPr>
                      <w:rFonts w:hint="eastAsia" w:asciiTheme="minorEastAsia" w:hAnsiTheme="minorEastAsia" w:eastAsiaTheme="minorEastAsia"/>
                      <w:szCs w:val="21"/>
                    </w:rPr>
                    <w:t>完善售后服务体系，优质服务，提</w:t>
                  </w:r>
                  <w:r>
                    <w:rPr>
                      <w:rFonts w:asciiTheme="minorEastAsia" w:hAnsiTheme="minorEastAsia" w:eastAsiaTheme="minorEastAsia"/>
                      <w:szCs w:val="21"/>
                    </w:rPr>
                    <w:t>高</w:t>
                  </w:r>
                  <w:r>
                    <w:rPr>
                      <w:rFonts w:hint="eastAsia" w:asciiTheme="minorEastAsia" w:hAnsiTheme="minorEastAsia" w:eastAsiaTheme="minorEastAsia"/>
                      <w:szCs w:val="21"/>
                    </w:rPr>
                    <w:t>客户满</w:t>
                  </w:r>
                  <w:r>
                    <w:rPr>
                      <w:rFonts w:asciiTheme="minorEastAsia" w:hAnsiTheme="minorEastAsia" w:eastAsiaTheme="minorEastAsia"/>
                      <w:szCs w:val="21"/>
                    </w:rPr>
                    <w:t>意度</w:t>
                  </w:r>
                  <w:r>
                    <w:rPr>
                      <w:rFonts w:hint="eastAsia" w:asciiTheme="minorEastAsia" w:hAnsiTheme="minorEastAsia" w:eastAsiaTheme="minorEastAsia"/>
                      <w:szCs w:val="21"/>
                    </w:rPr>
                    <w:t>，</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Theme="minorEastAsia" w:hAnsiTheme="minorEastAsia" w:eastAsiaTheme="minorEastAsia"/>
                      <w:szCs w:val="21"/>
                    </w:rPr>
                  </w:pPr>
                </w:p>
              </w:tc>
              <w:tc>
                <w:tcPr>
                  <w:tcW w:w="4258"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4"/>
                    </w:rPr>
                  </w:pPr>
                </w:p>
              </w:tc>
              <w:tc>
                <w:tcPr>
                  <w:tcW w:w="4258" w:type="dxa"/>
                </w:tcPr>
                <w:p>
                  <w:pPr>
                    <w:snapToGrid w:val="0"/>
                    <w:spacing w:line="360" w:lineRule="exact"/>
                    <w:jc w:val="left"/>
                    <w:rPr>
                      <w:rFonts w:ascii="宋体" w:hAnsi="宋体" w:cs="宋体"/>
                      <w:szCs w:val="21"/>
                    </w:rPr>
                  </w:pPr>
                </w:p>
              </w:tc>
              <w:tc>
                <w:tcPr>
                  <w:tcW w:w="1717" w:type="dxa"/>
                </w:tcPr>
                <w:p/>
              </w:tc>
            </w:tr>
          </w:tbl>
          <w:p/>
          <w:p>
            <w:r>
              <w:rPr>
                <w:rFonts w:hint="eastAsia"/>
              </w:rPr>
              <w:t xml:space="preserve">应对机遇的措施类型包括：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采用新实践 </w:t>
            </w:r>
            <w:r>
              <w:rPr>
                <w:rFonts w:hint="eastAsia"/>
              </w:rPr>
              <w:sym w:font="Wingdings" w:char="00A8"/>
            </w:r>
            <w:r>
              <w:rPr>
                <w:rFonts w:hint="eastAsia"/>
              </w:rPr>
              <w:t xml:space="preserve">推出新产品  </w:t>
            </w:r>
            <w:r>
              <w:rPr>
                <w:rFonts w:hint="eastAsia"/>
              </w:rPr>
              <w:sym w:font="Wingdings" w:char="00FE"/>
            </w:r>
            <w:r>
              <w:rPr>
                <w:rFonts w:hint="eastAsia"/>
              </w:rPr>
              <w:t xml:space="preserve">开辟新市场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赢得新顾客  </w:t>
            </w:r>
            <w:r>
              <w:rPr>
                <w:rFonts w:hint="eastAsia"/>
              </w:rPr>
              <w:sym w:font="Wingdings" w:char="00A8"/>
            </w:r>
            <w:r>
              <w:rPr>
                <w:rFonts w:hint="eastAsia"/>
              </w:rPr>
              <w:t xml:space="preserve">建立合作伙伴关系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利用新技术  </w:t>
            </w:r>
            <w:r>
              <w:rPr>
                <w:rFonts w:hint="eastAsia"/>
              </w:rPr>
              <w:sym w:font="Wingdings" w:char="00A8"/>
            </w:r>
            <w:r>
              <w:rPr>
                <w:rFonts w:hint="eastAsia"/>
              </w:rPr>
              <w:t>其他</w:t>
            </w:r>
          </w:p>
          <w:p>
            <w:r>
              <w:rPr>
                <w:rFonts w:hint="eastAsia"/>
              </w:rPr>
              <w:t>列举2~3项应对重要机遇的描述：</w:t>
            </w: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913"/>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r>
                    <w:rPr>
                      <w:rFonts w:hint="eastAsia"/>
                    </w:rPr>
                    <w:t>主要的机遇描述</w:t>
                  </w:r>
                </w:p>
              </w:tc>
              <w:tc>
                <w:tcPr>
                  <w:tcW w:w="3913" w:type="dxa"/>
                </w:tcPr>
                <w:p>
                  <w:pPr>
                    <w:rPr>
                      <w:szCs w:val="24"/>
                    </w:rPr>
                  </w:pPr>
                  <w:r>
                    <w:rPr>
                      <w:rFonts w:hint="eastAsia"/>
                    </w:rPr>
                    <w:t>应对措施</w:t>
                  </w:r>
                </w:p>
              </w:tc>
              <w:tc>
                <w:tcPr>
                  <w:tcW w:w="1752"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34" w:type="dxa"/>
                </w:tcPr>
                <w:p>
                  <w:r>
                    <w:rPr>
                      <w:rFonts w:hint="eastAsia"/>
                    </w:rPr>
                    <w:t>政府机关、大型餐饮酒店单位</w:t>
                  </w:r>
                  <w:r>
                    <w:t>招投标市场</w:t>
                  </w:r>
                  <w:r>
                    <w:rPr>
                      <w:rFonts w:hint="eastAsia"/>
                    </w:rPr>
                    <w:t>需</w:t>
                  </w:r>
                  <w:r>
                    <w:t>求大</w:t>
                  </w:r>
                </w:p>
              </w:tc>
              <w:tc>
                <w:tcPr>
                  <w:tcW w:w="3913" w:type="dxa"/>
                </w:tcPr>
                <w:p>
                  <w:pPr>
                    <w:numPr>
                      <w:ilvl w:val="0"/>
                      <w:numId w:val="1"/>
                    </w:numPr>
                  </w:pPr>
                  <w:r>
                    <w:rPr>
                      <w:rFonts w:hint="eastAsia"/>
                    </w:rPr>
                    <w:t>持续保持食品安全管理体系，提高竞争能力</w:t>
                  </w:r>
                </w:p>
                <w:p>
                  <w:pPr>
                    <w:numPr>
                      <w:ilvl w:val="0"/>
                      <w:numId w:val="1"/>
                    </w:numPr>
                  </w:pPr>
                  <w:r>
                    <w:rPr>
                      <w:rFonts w:hint="eastAsia"/>
                    </w:rPr>
                    <w:t>进一步发挥产品质量和价格优势</w:t>
                  </w:r>
                </w:p>
                <w:p>
                  <w:pPr>
                    <w:pStyle w:val="6"/>
                    <w:numPr>
                      <w:ilvl w:val="0"/>
                      <w:numId w:val="1"/>
                    </w:numPr>
                    <w:ind w:left="0" w:firstLine="0" w:firstLineChars="0"/>
                  </w:pPr>
                  <w:r>
                    <w:rPr>
                      <w:rFonts w:hint="eastAsia"/>
                    </w:rPr>
                    <w:t>加强内部管理，提升服务质量</w:t>
                  </w:r>
                </w:p>
              </w:tc>
              <w:tc>
                <w:tcPr>
                  <w:tcW w:w="1752" w:type="dxa"/>
                </w:tcPr>
                <w:p>
                  <w:pPr>
                    <w:rPr>
                      <w:highlight w:val="cyan"/>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34" w:type="dxa"/>
                </w:tcPr>
                <w:p>
                  <w:pPr>
                    <w:rPr>
                      <w:szCs w:val="24"/>
                    </w:rPr>
                  </w:pPr>
                </w:p>
              </w:tc>
              <w:tc>
                <w:tcPr>
                  <w:tcW w:w="3913" w:type="dxa"/>
                </w:tcPr>
                <w:p>
                  <w:pPr>
                    <w:rPr>
                      <w:rFonts w:asciiTheme="minorEastAsia" w:hAnsiTheme="minorEastAsia" w:eastAsiaTheme="minorEastAsia"/>
                      <w:szCs w:val="21"/>
                    </w:rPr>
                  </w:pPr>
                </w:p>
              </w:tc>
              <w:tc>
                <w:tcPr>
                  <w:tcW w:w="17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34" w:type="dxa"/>
                </w:tcPr>
                <w:p>
                  <w:pPr>
                    <w:rPr>
                      <w:szCs w:val="24"/>
                    </w:rPr>
                  </w:pPr>
                </w:p>
              </w:tc>
              <w:tc>
                <w:tcPr>
                  <w:tcW w:w="3913" w:type="dxa"/>
                </w:tcPr>
                <w:p/>
              </w:tc>
              <w:tc>
                <w:tcPr>
                  <w:tcW w:w="1752" w:type="dxa"/>
                </w:tcPr>
                <w:p/>
              </w:tc>
            </w:tr>
          </w:tbl>
          <w:p/>
          <w:p>
            <w:r>
              <w:rPr>
                <w:rFonts w:hint="eastAsia"/>
              </w:rPr>
              <w:t>FSMS：</w:t>
            </w:r>
          </w:p>
          <w:p>
            <w:pPr>
              <w:jc w:val="left"/>
            </w:pPr>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 xml:space="preserve">法规未识别  </w:t>
            </w:r>
            <w:r>
              <w:rPr>
                <w:rFonts w:hint="eastAsia"/>
                <w:u w:val="single"/>
              </w:rPr>
              <w:sym w:font="Wingdings" w:char="00FE"/>
            </w:r>
            <w:r>
              <w:rPr>
                <w:rFonts w:hint="eastAsia"/>
                <w:u w:val="single"/>
              </w:rPr>
              <w:t xml:space="preserve">违规操作  </w:t>
            </w:r>
            <w:r>
              <w:rPr>
                <w:rFonts w:hint="eastAsia"/>
                <w:u w:val="single"/>
              </w:rPr>
              <w:sym w:font="Wingdings" w:char="00A8"/>
            </w:r>
            <w:r>
              <w:rPr>
                <w:rFonts w:hint="eastAsia"/>
                <w:u w:val="single"/>
              </w:rPr>
              <w:t xml:space="preserve">其他                      </w:t>
            </w:r>
          </w:p>
          <w:p/>
          <w:p>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FE"/>
            </w:r>
            <w:r>
              <w:rPr>
                <w:rFonts w:hint="eastAsia"/>
                <w:u w:val="single"/>
              </w:rPr>
              <w:t xml:space="preserve">食物中毒 </w:t>
            </w:r>
            <w:r>
              <w:rPr>
                <w:rFonts w:hint="eastAsia"/>
                <w:u w:val="single"/>
              </w:rPr>
              <w:sym w:font="Wingdings" w:char="00A8"/>
            </w:r>
            <w:r>
              <w:rPr>
                <w:rFonts w:hint="eastAsia"/>
                <w:u w:val="single"/>
              </w:rPr>
              <w:t xml:space="preserve">停水  </w:t>
            </w:r>
            <w:r>
              <w:rPr>
                <w:rFonts w:hint="eastAsia"/>
                <w:u w:val="single"/>
              </w:rPr>
              <w:sym w:font="Wingdings" w:char="00A8"/>
            </w:r>
            <w:r>
              <w:rPr>
                <w:rFonts w:hint="eastAsia"/>
                <w:u w:val="single"/>
              </w:rPr>
              <w:t xml:space="preserve">停电  </w:t>
            </w:r>
            <w:r>
              <w:rPr>
                <w:rFonts w:hint="eastAsia"/>
                <w:u w:val="single"/>
              </w:rPr>
              <w:sym w:font="Wingdings" w:char="00A8"/>
            </w:r>
            <w:r>
              <w:rPr>
                <w:rFonts w:hint="eastAsia"/>
                <w:u w:val="single"/>
              </w:rPr>
              <w:t xml:space="preserve"> 停蒸汽   </w:t>
            </w:r>
          </w:p>
          <w:p>
            <w:r>
              <w:rPr>
                <w:rFonts w:hint="eastAsia"/>
                <w:u w:val="single"/>
              </w:rPr>
              <w:t xml:space="preserve">    </w:t>
            </w:r>
            <w:r>
              <w:rPr>
                <w:rFonts w:hint="eastAsia"/>
                <w:u w:val="single"/>
              </w:rPr>
              <w:sym w:font="Wingdings" w:char="00A8"/>
            </w:r>
            <w:r>
              <w:rPr>
                <w:rFonts w:hint="eastAsia"/>
                <w:u w:val="single"/>
              </w:rPr>
              <w:t xml:space="preserve"> 制冷设备故障  </w:t>
            </w:r>
            <w:r>
              <w:rPr>
                <w:rFonts w:hint="eastAsia"/>
                <w:u w:val="single"/>
              </w:rPr>
              <w:sym w:font="Wingdings" w:char="00FE"/>
            </w:r>
            <w:r>
              <w:rPr>
                <w:rFonts w:hint="eastAsia"/>
                <w:u w:val="single"/>
              </w:rPr>
              <w:t xml:space="preserve">车辆故障   </w:t>
            </w:r>
            <w:r>
              <w:rPr>
                <w:rFonts w:hint="eastAsia"/>
                <w:u w:val="single"/>
              </w:rPr>
              <w:sym w:font="Wingdings" w:char="00A8"/>
            </w:r>
            <w:r>
              <w:rPr>
                <w:rFonts w:hint="eastAsia"/>
                <w:u w:val="single"/>
              </w:rPr>
              <w:t xml:space="preserve">其他           </w:t>
            </w:r>
          </w:p>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确保FSMS 能够达到其预期结果;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提高理想效果;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防止或减少不良后果;</w:t>
            </w:r>
          </w:p>
          <w:p>
            <w:r>
              <w:rPr>
                <w:rFonts w:hint="eastAsia"/>
              </w:rPr>
              <w:sym w:font="Wingdings" w:char="00FE"/>
            </w:r>
            <w:r>
              <w:rPr>
                <w:rFonts w:hint="eastAsia"/>
              </w:rPr>
              <w:t xml:space="preserve"> </w:t>
            </w:r>
            <w:r>
              <w:rPr>
                <w:rFonts w:hint="eastAsia" w:ascii="CIDFont+F5" w:hAnsi="CIDFont+F5" w:eastAsia="CIDFont+F5"/>
              </w:rPr>
              <w:t xml:space="preserve"> 实现持续改进。</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163" w:type="dxa"/>
            <w:gridSpan w:val="2"/>
            <w:vMerge w:val="restart"/>
          </w:tcPr>
          <w:p/>
        </w:tc>
        <w:tc>
          <w:tcPr>
            <w:tcW w:w="960" w:type="dxa"/>
            <w:gridSpan w:val="2"/>
          </w:tcPr>
          <w:p>
            <w:r>
              <w:rPr>
                <w:rFonts w:hint="eastAsia"/>
                <w:color w:val="000000"/>
                <w:szCs w:val="21"/>
              </w:rPr>
              <w:t>F6.1.2</w:t>
            </w:r>
          </w:p>
        </w:tc>
        <w:tc>
          <w:tcPr>
            <w:tcW w:w="745" w:type="dxa"/>
          </w:tcPr>
          <w:p>
            <w:r>
              <w:rPr>
                <w:rFonts w:hint="eastAsia"/>
              </w:rPr>
              <w:t>运行证据</w:t>
            </w:r>
          </w:p>
        </w:tc>
        <w:tc>
          <w:tcPr>
            <w:tcW w:w="9255" w:type="dxa"/>
          </w:tcPr>
          <w:p>
            <w:pPr>
              <w:rPr>
                <w:rFonts w:ascii="CIDFont+F5" w:hAnsi="CIDFont+F5" w:eastAsia="CIDFont+F5"/>
              </w:rPr>
            </w:pPr>
            <w:r>
              <w:rPr>
                <w:rFonts w:hint="eastAsia" w:ascii="CIDFont+F5" w:hAnsi="CIDFont+F5" w:eastAsia="CIDFont+F5"/>
              </w:rPr>
              <w:t>该组织策划了：</w:t>
            </w:r>
          </w:p>
          <w:p>
            <w:pPr>
              <w:jc w:val="left"/>
              <w:rPr>
                <w:rFonts w:ascii="CIDFont+F5" w:hAnsi="CIDFont+F5" w:eastAsia="CIDFont+F5"/>
              </w:rPr>
            </w:pPr>
            <w:r>
              <w:rPr>
                <w:rFonts w:hint="eastAsia" w:ascii="CIDFont+F5" w:hAnsi="CIDFont+F5" w:eastAsia="CIDFont+F5"/>
              </w:rPr>
              <w:t>a) 解决这些风险和机遇的行动;——企业提供了《应对机遇和风险措施单》</w:t>
            </w:r>
          </w:p>
          <w:p>
            <w:pPr>
              <w:jc w:val="left"/>
              <w:rPr>
                <w:rFonts w:ascii="CIDFont+F5" w:hAnsi="CIDFont+F5" w:eastAsia="CIDFont+F5"/>
              </w:rPr>
            </w:pPr>
            <w:r>
              <w:rPr>
                <w:rFonts w:hint="eastAsia" w:ascii="CIDFont+F5" w:hAnsi="CIDFont+F5" w:eastAsia="CIDFont+F5"/>
              </w:rPr>
              <w:t>b) 并进行了:</w:t>
            </w:r>
          </w:p>
          <w:p>
            <w:pPr>
              <w:jc w:val="left"/>
              <w:rPr>
                <w:rFonts w:ascii="CIDFont+F5" w:hAnsi="CIDFont+F5" w:eastAsia="CIDFont+F5"/>
              </w:rPr>
            </w:pPr>
            <w:r>
              <w:rPr>
                <w:rFonts w:hint="eastAsia" w:ascii="CIDFont+F5" w:hAnsi="CIDFont+F5" w:eastAsia="CIDFont+F5"/>
              </w:rPr>
              <w:t>1) 将行动整合并实施到其FSMS流程中;</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2) 评估这些行动的有效性。</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1"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3" w:type="dxa"/>
            <w:gridSpan w:val="2"/>
            <w:vMerge w:val="continue"/>
          </w:tcPr>
          <w:p>
            <w:pPr>
              <w:rPr>
                <w:highlight w:val="yellow"/>
              </w:rPr>
            </w:pPr>
          </w:p>
        </w:tc>
        <w:tc>
          <w:tcPr>
            <w:tcW w:w="960" w:type="dxa"/>
            <w:gridSpan w:val="2"/>
          </w:tcPr>
          <w:p>
            <w:r>
              <w:rPr>
                <w:rFonts w:hint="eastAsia"/>
                <w:color w:val="000000"/>
                <w:szCs w:val="21"/>
              </w:rPr>
              <w:t>F6.1.3</w:t>
            </w:r>
          </w:p>
        </w:tc>
        <w:tc>
          <w:tcPr>
            <w:tcW w:w="745" w:type="dxa"/>
          </w:tcPr>
          <w:p>
            <w:r>
              <w:rPr>
                <w:rFonts w:hint="eastAsia"/>
              </w:rPr>
              <w:t>运行证据</w:t>
            </w:r>
          </w:p>
        </w:tc>
        <w:tc>
          <w:tcPr>
            <w:tcW w:w="9255" w:type="dxa"/>
          </w:tcPr>
          <w:p>
            <w:pPr>
              <w:jc w:val="left"/>
              <w:rPr>
                <w:rFonts w:ascii="CIDFont+F5" w:hAnsi="CIDFont+F5" w:eastAsia="CIDFont+F5"/>
              </w:rPr>
            </w:pPr>
            <w:r>
              <w:rPr>
                <w:rFonts w:hint="eastAsia" w:ascii="CIDFont+F5" w:hAnsi="CIDFont+F5" w:eastAsia="CIDFont+F5"/>
              </w:rPr>
              <w:t>该组织为应对风险和机遇而采取的行动与以下方面相称：</w:t>
            </w:r>
          </w:p>
          <w:p>
            <w:pPr>
              <w:jc w:val="left"/>
              <w:rPr>
                <w:rFonts w:ascii="CIDFont+F5" w:hAnsi="CIDFont+F5" w:eastAsia="CIDFont+F5"/>
              </w:rPr>
            </w:pPr>
            <w:r>
              <w:rPr>
                <w:rFonts w:hint="eastAsia" w:ascii="CIDFont+F5" w:hAnsi="CIDFont+F5" w:eastAsia="CIDFont+F5"/>
              </w:rPr>
              <w:t xml:space="preserve">a) 对食品安全要求的影响;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b) 为顾客提供一致的食品产品与服务;</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pPr>
            <w:r>
              <w:rPr>
                <w:rFonts w:hint="eastAsia" w:ascii="CIDFont+F5" w:hAnsi="CIDFont+F5" w:eastAsia="CIDFont+F5"/>
              </w:rPr>
              <w:t xml:space="preserve">c) 食品链中相关方的要求。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1"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pPr>
              <w:rPr>
                <w:color w:val="000000"/>
                <w:szCs w:val="21"/>
              </w:rPr>
            </w:pPr>
            <w:r>
              <w:rPr>
                <w:rFonts w:hint="eastAsia"/>
                <w:color w:val="000000"/>
                <w:szCs w:val="21"/>
              </w:rPr>
              <w:t>食品安全目标及其实现的策划</w:t>
            </w:r>
          </w:p>
          <w:p/>
        </w:tc>
        <w:tc>
          <w:tcPr>
            <w:tcW w:w="960" w:type="dxa"/>
            <w:gridSpan w:val="2"/>
            <w:vMerge w:val="restart"/>
          </w:tcPr>
          <w:p>
            <w:pPr>
              <w:rPr>
                <w:color w:val="000000"/>
                <w:szCs w:val="21"/>
              </w:rPr>
            </w:pPr>
            <w:r>
              <w:rPr>
                <w:rFonts w:hint="eastAsia"/>
                <w:color w:val="000000"/>
                <w:szCs w:val="21"/>
              </w:rPr>
              <w:t>F6.2</w:t>
            </w:r>
          </w:p>
        </w:tc>
        <w:tc>
          <w:tcPr>
            <w:tcW w:w="745" w:type="dxa"/>
          </w:tcPr>
          <w:p>
            <w:r>
              <w:rPr>
                <w:rFonts w:hint="eastAsia"/>
              </w:rPr>
              <w:t>文件名称</w:t>
            </w:r>
          </w:p>
        </w:tc>
        <w:tc>
          <w:tcPr>
            <w:tcW w:w="9255" w:type="dxa"/>
          </w:tcPr>
          <w:p>
            <w:r>
              <w:rPr>
                <w:rFonts w:hint="eastAsia"/>
              </w:rPr>
              <w:t>如：</w:t>
            </w:r>
            <w:r>
              <w:rPr/>
              <w:sym w:font="Wingdings" w:char="00FE"/>
            </w:r>
            <w:r>
              <w:rPr>
                <w:rFonts w:hint="eastAsia"/>
              </w:rPr>
              <w:t xml:space="preserve">手册第6.2条款、《目标管理程序》 </w:t>
            </w:r>
            <w:r>
              <w:rPr/>
              <w:sym w:font="Wingdings" w:char="00FE"/>
            </w:r>
            <w:r>
              <w:rPr>
                <w:rFonts w:hint="eastAsia"/>
              </w:rPr>
              <w:t>《</w:t>
            </w:r>
            <w:r>
              <w:rPr>
                <w:rFonts w:hint="eastAsia"/>
                <w:color w:val="000000"/>
                <w:szCs w:val="21"/>
              </w:rPr>
              <w:t>食品安全目标分解及考核统计表</w:t>
            </w:r>
            <w:r>
              <w:rPr>
                <w:rFonts w:hint="eastAsia"/>
              </w:rPr>
              <w:t>》</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r>
              <w:rPr>
                <w:rFonts w:hint="eastAsia"/>
              </w:rPr>
              <w:t>组织建立了与方针一致的文件化的管理目标。为实现总的</w:t>
            </w:r>
            <w:r>
              <w:rPr>
                <w:rFonts w:hint="eastAsia" w:ascii="宋体" w:hAnsi="宋体"/>
                <w:szCs w:val="21"/>
              </w:rPr>
              <w:t>食品安全</w:t>
            </w:r>
            <w:r>
              <w:rPr>
                <w:rFonts w:hint="eastAsia"/>
              </w:rPr>
              <w:t>目标而建立的各层级</w:t>
            </w:r>
            <w:r>
              <w:rPr>
                <w:rFonts w:hint="eastAsia" w:ascii="宋体" w:hAnsi="宋体"/>
                <w:szCs w:val="21"/>
              </w:rPr>
              <w:t>食品安全</w:t>
            </w:r>
            <w:r>
              <w:rPr>
                <w:rFonts w:hint="eastAsia"/>
              </w:rPr>
              <w:t>目标具体、有针对性、可测量并且可实现。</w:t>
            </w:r>
          </w:p>
          <w:tbl>
            <w:tblPr>
              <w:tblStyle w:val="7"/>
              <w:tblpPr w:leftFromText="180" w:rightFromText="180" w:vertAnchor="text" w:horzAnchor="page" w:tblpX="100" w:tblpY="310"/>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5"/>
              <w:gridCol w:w="3255"/>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shd w:val="clear" w:color="auto" w:fill="auto"/>
                </w:tcPr>
                <w:p>
                  <w:pPr>
                    <w:rPr>
                      <w:rFonts w:ascii="宋体" w:hAnsi="宋体"/>
                      <w:szCs w:val="24"/>
                    </w:rPr>
                  </w:pPr>
                  <w:r>
                    <w:rPr>
                      <w:rFonts w:hint="eastAsia" w:ascii="宋体" w:hAnsi="宋体"/>
                      <w:szCs w:val="24"/>
                    </w:rPr>
                    <w:t>食品安全目标</w:t>
                  </w:r>
                </w:p>
              </w:tc>
              <w:tc>
                <w:tcPr>
                  <w:tcW w:w="3255" w:type="dxa"/>
                  <w:shd w:val="clear" w:color="auto" w:fill="auto"/>
                </w:tcPr>
                <w:p>
                  <w:pPr>
                    <w:rPr>
                      <w:rFonts w:ascii="宋体" w:hAnsi="宋体"/>
                      <w:szCs w:val="24"/>
                    </w:rPr>
                  </w:pPr>
                  <w:r>
                    <w:rPr>
                      <w:rFonts w:hint="eastAsia" w:ascii="宋体" w:hAnsi="宋体"/>
                      <w:szCs w:val="24"/>
                    </w:rPr>
                    <w:t>计算方法</w:t>
                  </w:r>
                </w:p>
              </w:tc>
              <w:tc>
                <w:tcPr>
                  <w:tcW w:w="2384" w:type="dxa"/>
                  <w:shd w:val="clear" w:color="auto" w:fill="auto"/>
                </w:tcPr>
                <w:p>
                  <w:pPr>
                    <w:rPr>
                      <w:rFonts w:ascii="宋体" w:hAnsi="宋体"/>
                      <w:szCs w:val="24"/>
                    </w:rPr>
                  </w:pPr>
                  <w:r>
                    <w:rPr>
                      <w:rFonts w:hint="eastAsia" w:ascii="宋体" w:hAnsi="宋体"/>
                      <w:szCs w:val="24"/>
                    </w:rPr>
                    <w:t>目标实际完成</w:t>
                  </w:r>
                </w:p>
                <w:p>
                  <w:pPr>
                    <w:rPr>
                      <w:rFonts w:ascii="宋体" w:hAnsi="宋体"/>
                      <w:szCs w:val="24"/>
                    </w:rPr>
                  </w:pPr>
                  <w:r>
                    <w:rPr>
                      <w:rFonts w:hint="eastAsia" w:ascii="宋体" w:hAnsi="宋体"/>
                      <w:szCs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shd w:val="clear" w:color="auto" w:fill="auto"/>
                  <w:vAlign w:val="center"/>
                </w:tcPr>
                <w:p>
                  <w:pPr>
                    <w:spacing w:line="400" w:lineRule="exact"/>
                    <w:rPr>
                      <w:b/>
                      <w:bCs/>
                      <w:sz w:val="18"/>
                      <w:szCs w:val="18"/>
                    </w:rPr>
                  </w:pPr>
                  <w:r>
                    <w:rPr>
                      <w:rFonts w:hint="eastAsia"/>
                      <w:b/>
                      <w:bCs/>
                      <w:sz w:val="18"/>
                      <w:szCs w:val="18"/>
                    </w:rPr>
                    <w:t>无重大食品安全事故</w:t>
                  </w:r>
                </w:p>
              </w:tc>
              <w:tc>
                <w:tcPr>
                  <w:tcW w:w="3255" w:type="dxa"/>
                  <w:shd w:val="clear" w:color="auto" w:fill="auto"/>
                  <w:vAlign w:val="center"/>
                </w:tcPr>
                <w:p>
                  <w:pPr>
                    <w:rPr>
                      <w:sz w:val="18"/>
                      <w:szCs w:val="18"/>
                    </w:rPr>
                  </w:pPr>
                  <w:r>
                    <w:rPr>
                      <w:rFonts w:hint="eastAsia"/>
                      <w:sz w:val="18"/>
                      <w:szCs w:val="18"/>
                    </w:rPr>
                    <w:t>重大质量安全事故发生0次</w:t>
                  </w:r>
                </w:p>
              </w:tc>
              <w:tc>
                <w:tcPr>
                  <w:tcW w:w="2384" w:type="dxa"/>
                  <w:shd w:val="clear" w:color="auto" w:fill="auto"/>
                </w:tcPr>
                <w:p>
                  <w:pPr>
                    <w:spacing w:before="156" w:beforeLines="50"/>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shd w:val="clear" w:color="auto" w:fill="auto"/>
                  <w:vAlign w:val="center"/>
                </w:tcPr>
                <w:p>
                  <w:pPr>
                    <w:spacing w:line="400" w:lineRule="exact"/>
                    <w:rPr>
                      <w:sz w:val="18"/>
                      <w:szCs w:val="18"/>
                    </w:rPr>
                  </w:pPr>
                  <w:r>
                    <w:rPr>
                      <w:rFonts w:hint="eastAsia"/>
                      <w:b/>
                      <w:bCs/>
                      <w:sz w:val="18"/>
                      <w:szCs w:val="18"/>
                    </w:rPr>
                    <w:t>顾客满意率≥9</w:t>
                  </w:r>
                  <w:r>
                    <w:rPr>
                      <w:b/>
                      <w:bCs/>
                      <w:sz w:val="18"/>
                      <w:szCs w:val="18"/>
                    </w:rPr>
                    <w:t>0</w:t>
                  </w:r>
                  <w:r>
                    <w:rPr>
                      <w:rFonts w:hint="eastAsia"/>
                      <w:b/>
                      <w:bCs/>
                      <w:sz w:val="18"/>
                      <w:szCs w:val="18"/>
                    </w:rPr>
                    <w:t>%</w:t>
                  </w:r>
                </w:p>
              </w:tc>
              <w:tc>
                <w:tcPr>
                  <w:tcW w:w="3255" w:type="dxa"/>
                  <w:shd w:val="clear" w:color="auto" w:fill="auto"/>
                  <w:vAlign w:val="center"/>
                </w:tcPr>
                <w:p>
                  <w:pPr>
                    <w:rPr>
                      <w:sz w:val="18"/>
                      <w:szCs w:val="18"/>
                    </w:rPr>
                  </w:pPr>
                  <w:r>
                    <w:rPr>
                      <w:rFonts w:hint="eastAsia"/>
                      <w:sz w:val="18"/>
                      <w:szCs w:val="18"/>
                    </w:rPr>
                    <w:t>顾客满意度调查</w:t>
                  </w:r>
                </w:p>
              </w:tc>
              <w:tc>
                <w:tcPr>
                  <w:tcW w:w="2384" w:type="dxa"/>
                  <w:shd w:val="clear" w:color="auto" w:fill="auto"/>
                </w:tcPr>
                <w:p>
                  <w:pPr>
                    <w:spacing w:before="156" w:beforeLines="50"/>
                    <w:jc w:val="center"/>
                    <w:rPr>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shd w:val="clear" w:color="auto" w:fill="auto"/>
                  <w:vAlign w:val="center"/>
                </w:tcPr>
                <w:p>
                  <w:pPr>
                    <w:rPr>
                      <w:szCs w:val="21"/>
                    </w:rPr>
                  </w:pPr>
                  <w:r>
                    <w:rPr>
                      <w:rFonts w:hint="eastAsia"/>
                      <w:szCs w:val="21"/>
                    </w:rPr>
                    <w:t>业务投诉解决率1</w:t>
                  </w:r>
                  <w:r>
                    <w:rPr>
                      <w:szCs w:val="21"/>
                    </w:rPr>
                    <w:t>00</w:t>
                  </w:r>
                  <w:r>
                    <w:rPr>
                      <w:rFonts w:hint="eastAsia"/>
                      <w:szCs w:val="21"/>
                    </w:rPr>
                    <w:t>%</w:t>
                  </w:r>
                </w:p>
              </w:tc>
              <w:tc>
                <w:tcPr>
                  <w:tcW w:w="3255" w:type="dxa"/>
                  <w:shd w:val="clear" w:color="auto" w:fill="auto"/>
                  <w:vAlign w:val="center"/>
                </w:tcPr>
                <w:p>
                  <w:pPr>
                    <w:rPr>
                      <w:rFonts w:hint="eastAsia"/>
                      <w:szCs w:val="21"/>
                    </w:rPr>
                  </w:pPr>
                  <w:r>
                    <w:rPr>
                      <w:rFonts w:hint="eastAsia"/>
                      <w:szCs w:val="21"/>
                    </w:rPr>
                    <w:t>已解决投诉/投诉总数*</w:t>
                  </w:r>
                  <w:r>
                    <w:rPr>
                      <w:szCs w:val="21"/>
                    </w:rPr>
                    <w:t>100</w:t>
                  </w:r>
                  <w:r>
                    <w:rPr>
                      <w:rFonts w:hint="eastAsia"/>
                      <w:szCs w:val="21"/>
                    </w:rPr>
                    <w:t>%</w:t>
                  </w:r>
                </w:p>
              </w:tc>
              <w:tc>
                <w:tcPr>
                  <w:tcW w:w="2384" w:type="dxa"/>
                  <w:shd w:val="clear" w:color="auto" w:fill="auto"/>
                </w:tcPr>
                <w:p>
                  <w:pPr>
                    <w:spacing w:before="156" w:beforeLines="50"/>
                    <w:jc w:val="center"/>
                    <w:rPr>
                      <w:szCs w:val="21"/>
                    </w:rPr>
                  </w:pPr>
                  <w:r>
                    <w:rPr>
                      <w:rFonts w:hint="eastAsia"/>
                      <w:szCs w:val="21"/>
                    </w:rPr>
                    <w:t>1</w:t>
                  </w:r>
                  <w:r>
                    <w:rPr>
                      <w:szCs w:val="21"/>
                    </w:rPr>
                    <w:t>00</w:t>
                  </w:r>
                  <w:r>
                    <w:rPr>
                      <w:rFonts w:hint="eastAsia"/>
                      <w:szCs w:val="21"/>
                    </w:rPr>
                    <w:t>%</w:t>
                  </w:r>
                </w:p>
              </w:tc>
            </w:tr>
          </w:tbl>
          <w:p>
            <w:r>
              <w:rPr>
                <w:rFonts w:hint="eastAsia"/>
              </w:rPr>
              <w:t>总</w:t>
            </w:r>
            <w:r>
              <w:rPr>
                <w:rFonts w:hint="eastAsia" w:ascii="宋体" w:hAnsi="宋体"/>
                <w:szCs w:val="21"/>
              </w:rPr>
              <w:t>食品安全</w:t>
            </w:r>
            <w:r>
              <w:rPr>
                <w:rFonts w:hint="eastAsia"/>
              </w:rPr>
              <w:t>目标实现情况的评价，及其测量方法是：</w:t>
            </w:r>
          </w:p>
          <w:p>
            <w:pPr>
              <w:rPr>
                <w:rFonts w:ascii="宋体" w:hAnsi="宋体"/>
              </w:rPr>
            </w:pPr>
          </w:p>
          <w:p>
            <w:pPr>
              <w:pStyle w:val="2"/>
              <w:rPr>
                <w:rFonts w:ascii="宋体" w:hAnsi="宋体"/>
                <w:u w:val="single"/>
              </w:rPr>
            </w:pPr>
            <w:r>
              <w:rPr>
                <w:rFonts w:hint="eastAsia" w:ascii="宋体" w:hAnsi="宋体"/>
              </w:rPr>
              <w:t>2</w:t>
            </w:r>
            <w:r>
              <w:rPr>
                <w:rFonts w:hint="eastAsia" w:ascii="宋体" w:hAnsi="宋体"/>
                <w:u w:val="single"/>
              </w:rPr>
              <w:t>020年度目标已实现，2021年度目标实施中</w:t>
            </w:r>
          </w:p>
          <w:p>
            <w:pPr>
              <w:pStyle w:val="2"/>
              <w:rPr>
                <w:rFonts w:ascii="宋体" w:hAnsi="宋体"/>
              </w:rPr>
            </w:pP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pPr>
              <w:rPr>
                <w:color w:val="000000"/>
                <w:szCs w:val="21"/>
              </w:rPr>
            </w:pPr>
            <w:r>
              <w:rPr>
                <w:rFonts w:hint="eastAsia"/>
                <w:color w:val="000000"/>
                <w:szCs w:val="21"/>
              </w:rPr>
              <w:t>变更的策划</w:t>
            </w:r>
          </w:p>
          <w:p/>
        </w:tc>
        <w:tc>
          <w:tcPr>
            <w:tcW w:w="960" w:type="dxa"/>
            <w:gridSpan w:val="2"/>
            <w:vMerge w:val="restart"/>
          </w:tcPr>
          <w:p>
            <w:r>
              <w:rPr>
                <w:rFonts w:hint="eastAsia"/>
                <w:color w:val="000000"/>
                <w:szCs w:val="21"/>
              </w:rPr>
              <w:t>F6.3</w:t>
            </w:r>
          </w:p>
        </w:tc>
        <w:tc>
          <w:tcPr>
            <w:tcW w:w="745" w:type="dxa"/>
          </w:tcPr>
          <w:p>
            <w:r>
              <w:rPr>
                <w:rFonts w:hint="eastAsia"/>
              </w:rPr>
              <w:t>文件名称</w:t>
            </w:r>
          </w:p>
        </w:tc>
        <w:tc>
          <w:tcPr>
            <w:tcW w:w="9255"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手册第6.3章</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w:t>
            </w:r>
            <w:r>
              <w:rPr>
                <w:rFonts w:hint="eastAsia"/>
              </w:rPr>
              <w:sym w:font="Wingdings 2" w:char="00A3"/>
            </w:r>
            <w:r>
              <w:rPr>
                <w:rFonts w:hint="eastAsia"/>
              </w:rPr>
              <w:t xml:space="preserve">主要原材料 □关键人员 □生产工艺/服务流程 </w:t>
            </w:r>
          </w:p>
          <w:p>
            <w:pPr>
              <w:spacing w:before="40" w:after="40"/>
            </w:pPr>
            <w:r>
              <w:rPr>
                <w:rFonts w:hint="eastAsia"/>
              </w:rPr>
              <w:t xml:space="preserve">□主要设备设施 □主要检测设备 </w:t>
            </w:r>
            <w:r>
              <w:rPr/>
              <w:sym w:font="Wingdings" w:char="00FE"/>
            </w:r>
            <w:r>
              <w:rPr>
                <w:rFonts w:hint="eastAsia"/>
              </w:rPr>
              <w:t>其他——范围变更、适用标准等</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2996"/>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032" w:type="dxa"/>
                </w:tcPr>
                <w:p>
                  <w:r>
                    <w:rPr>
                      <w:rFonts w:hint="eastAsia"/>
                    </w:rPr>
                    <w:t>体系变更的内容说明</w:t>
                  </w:r>
                </w:p>
              </w:tc>
              <w:tc>
                <w:tcPr>
                  <w:tcW w:w="2996"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评价内容</w:t>
                  </w:r>
                </w:p>
              </w:tc>
              <w:tc>
                <w:tcPr>
                  <w:tcW w:w="2996"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变更目的</w:t>
                  </w:r>
                </w:p>
              </w:tc>
              <w:tc>
                <w:tcPr>
                  <w:tcW w:w="2996" w:type="dxa"/>
                </w:tcPr>
                <w:p>
                  <w:r>
                    <w:rPr>
                      <w:rFonts w:hint="eastAsia"/>
                    </w:rPr>
                    <w:t>符合ISO22000:2018标准要求</w:t>
                  </w: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其潜在后果</w:t>
                  </w:r>
                </w:p>
              </w:tc>
              <w:tc>
                <w:tcPr>
                  <w:tcW w:w="2996"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食品安全管理体系的完整性</w:t>
                  </w:r>
                </w:p>
              </w:tc>
              <w:tc>
                <w:tcPr>
                  <w:tcW w:w="2996" w:type="dxa"/>
                </w:tcPr>
                <w:p>
                  <w:r>
                    <w:rPr>
                      <w:rFonts w:hint="eastAsia"/>
                    </w:rPr>
                    <w:t>完整</w:t>
                  </w: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资源的可获得性</w:t>
                  </w:r>
                </w:p>
              </w:tc>
              <w:tc>
                <w:tcPr>
                  <w:tcW w:w="2996" w:type="dxa"/>
                </w:tcPr>
                <w:p>
                  <w:r>
                    <w:rPr>
                      <w:rFonts w:hint="eastAsia"/>
                    </w:rPr>
                    <w:t>具备范围变更、适用标准变更的咨询配置</w:t>
                  </w: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2" w:type="dxa"/>
                </w:tcPr>
                <w:p>
                  <w:r>
                    <w:rPr>
                      <w:rFonts w:hint="eastAsia"/>
                    </w:rPr>
                    <w:t>职责和权限的分配或再分配</w:t>
                  </w:r>
                </w:p>
              </w:tc>
              <w:tc>
                <w:tcPr>
                  <w:tcW w:w="2996" w:type="dxa"/>
                </w:tcPr>
                <w:p>
                  <w:r>
                    <w:rPr>
                      <w:rFonts w:hint="eastAsia"/>
                    </w:rPr>
                    <w:t>不涉及</w:t>
                  </w: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bl>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资源（总则）</w:t>
            </w:r>
          </w:p>
        </w:tc>
        <w:tc>
          <w:tcPr>
            <w:tcW w:w="960" w:type="dxa"/>
            <w:gridSpan w:val="2"/>
            <w:vMerge w:val="restart"/>
          </w:tcPr>
          <w:p>
            <w:r>
              <w:rPr>
                <w:rFonts w:hint="eastAsia"/>
                <w:color w:val="000000"/>
                <w:szCs w:val="21"/>
              </w:rPr>
              <w:t>F7.1</w:t>
            </w:r>
          </w:p>
        </w:tc>
        <w:tc>
          <w:tcPr>
            <w:tcW w:w="745" w:type="dxa"/>
          </w:tcPr>
          <w:p>
            <w:r>
              <w:rPr>
                <w:rFonts w:hint="eastAsia"/>
              </w:rPr>
              <w:t>文件名称</w:t>
            </w:r>
          </w:p>
        </w:tc>
        <w:tc>
          <w:tcPr>
            <w:tcW w:w="9255" w:type="dxa"/>
          </w:tcPr>
          <w:p>
            <w:r>
              <w:rPr>
                <w:rFonts w:hint="eastAsia"/>
              </w:rPr>
              <w:t>如：</w:t>
            </w:r>
            <w:r>
              <w:rPr/>
              <w:sym w:font="Wingdings" w:char="00FE"/>
            </w:r>
            <w:r>
              <w:rPr>
                <w:rFonts w:hint="eastAsia"/>
              </w:rPr>
              <w:t>管理手册第7.1章</w:t>
            </w:r>
          </w:p>
        </w:tc>
        <w:tc>
          <w:tcPr>
            <w:tcW w:w="1591" w:type="dxa"/>
            <w:vMerge w:val="restart"/>
          </w:tcPr>
          <w:p>
            <w:r>
              <w:rPr/>
              <w:sym w:font="Wingdings" w:char="00FE"/>
            </w:r>
            <w:r>
              <w:rPr>
                <w:rFonts w:hint="eastAsia"/>
              </w:rPr>
              <w:t>符合</w:t>
            </w:r>
          </w:p>
          <w:p>
            <w:r>
              <w:rPr/>
              <w:sym w:font="Wingdings" w:char="00A8"/>
            </w:r>
            <w:r>
              <w:rPr>
                <w:rFonts w:hint="eastAsia"/>
              </w:rPr>
              <w:t>不符合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2"/>
              </w:numPr>
              <w:rPr>
                <w:color w:val="000000"/>
                <w:szCs w:val="21"/>
              </w:rPr>
            </w:pPr>
            <w:r>
              <w:rPr>
                <w:rFonts w:hint="eastAsia"/>
                <w:color w:val="000000"/>
                <w:szCs w:val="21"/>
              </w:rPr>
              <w:t>现有内部资源的能力；</w:t>
            </w:r>
          </w:p>
          <w:p>
            <w:pPr>
              <w:rPr>
                <w:highlight w:val="cyan"/>
              </w:rPr>
            </w:pPr>
            <w:r>
              <w:rPr>
                <w:rFonts w:hint="eastAsia"/>
              </w:rPr>
              <w:t>所处为杭州市余杭区良渚街道新港村，面积约有400平方米。设置有冷库2个、暂养池8个，车辆共有8辆，其中冷藏车1辆。</w:t>
            </w:r>
          </w:p>
          <w:p>
            <w:pPr>
              <w:rPr>
                <w:u w:val="single"/>
              </w:rPr>
            </w:pPr>
            <w:r>
              <w:rPr>
                <w:rFonts w:hint="eastAsia"/>
              </w:rPr>
              <w:t>主要设备有：</w:t>
            </w:r>
            <w:r>
              <w:rPr>
                <w:rFonts w:hint="eastAsia"/>
                <w:u w:val="single"/>
              </w:rPr>
              <w:t xml:space="preserve"> </w:t>
            </w:r>
            <w:r>
              <w:rPr>
                <w:rFonts w:hint="eastAsia"/>
                <w:szCs w:val="21"/>
                <w:u w:val="single"/>
              </w:rPr>
              <w:t xml:space="preserve"> 配</w:t>
            </w:r>
            <w:r>
              <w:rPr>
                <w:szCs w:val="21"/>
                <w:u w:val="single"/>
              </w:rPr>
              <w:t>送</w:t>
            </w:r>
            <w:r>
              <w:rPr>
                <w:rFonts w:hint="eastAsia"/>
                <w:szCs w:val="21"/>
                <w:u w:val="single"/>
              </w:rPr>
              <w:t>车辆、仓库</w:t>
            </w:r>
            <w:r>
              <w:rPr>
                <w:rFonts w:hint="eastAsia"/>
                <w:u w:val="single"/>
              </w:rPr>
              <w:t>（列举2~4种）</w:t>
            </w: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rFonts w:hint="eastAsia"/>
              </w:rPr>
              <w:t>□</w:t>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rFonts w:hint="eastAsia"/>
              </w:rPr>
              <w:t>□</w:t>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改建/扩建施工现场</w:t>
            </w:r>
            <w:r>
              <w:rPr>
                <w:rFonts w:hint="eastAsia"/>
              </w:rPr>
              <w:t>□</w:t>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FE"/>
            </w:r>
            <w:r>
              <w:rPr>
                <w:rFonts w:hint="eastAsia"/>
                <w:color w:val="000000"/>
              </w:rPr>
              <w:t xml:space="preserve">其他——不涉及 </w:t>
            </w:r>
          </w:p>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不涉及         </w:t>
            </w:r>
          </w:p>
          <w:p>
            <w:pPr>
              <w:rPr>
                <w:color w:val="000000"/>
                <w:szCs w:val="21"/>
              </w:rPr>
            </w:pPr>
          </w:p>
          <w:p>
            <w:pPr>
              <w:numPr>
                <w:ilvl w:val="0"/>
                <w:numId w:val="3"/>
              </w:numPr>
              <w:rPr>
                <w:color w:val="000000"/>
                <w:szCs w:val="21"/>
                <w:u w:val="single"/>
              </w:rPr>
            </w:pPr>
            <w:r>
              <w:rPr>
                <w:rFonts w:hint="eastAsia"/>
                <w:color w:val="000000"/>
                <w:szCs w:val="21"/>
              </w:rPr>
              <w:t>还存在哪些局限和不足：</w:t>
            </w:r>
            <w:r>
              <w:rPr>
                <w:rFonts w:hint="eastAsia"/>
                <w:color w:val="000000"/>
                <w:szCs w:val="21"/>
                <w:u w:val="single"/>
              </w:rPr>
              <w:t xml:space="preserve">         无                          </w:t>
            </w:r>
          </w:p>
          <w:p>
            <w:pPr>
              <w:numPr>
                <w:ilvl w:val="0"/>
                <w:numId w:val="2"/>
              </w:numPr>
            </w:pPr>
            <w:r>
              <w:rPr>
                <w:rFonts w:hint="eastAsia"/>
                <w:color w:val="000000"/>
                <w:szCs w:val="21"/>
              </w:rPr>
              <w:t>需要从外部供方获得的资源：</w:t>
            </w:r>
            <w:r>
              <w:rPr>
                <w:rFonts w:hint="eastAsia"/>
              </w:rPr>
              <w:t xml:space="preserve"> </w:t>
            </w:r>
            <w:r>
              <w:rPr>
                <w:rFonts w:hint="eastAsia"/>
                <w:u w:val="single"/>
              </w:rPr>
              <w:t xml:space="preserve">    无</w:t>
            </w:r>
            <w:r>
              <w:rPr>
                <w:u w:val="single"/>
              </w:rPr>
              <w:t xml:space="preserve">    </w:t>
            </w:r>
            <w:r>
              <w:rPr>
                <w:rFonts w:hint="eastAsia"/>
                <w:u w:val="single"/>
              </w:rPr>
              <w:t xml:space="preserve"> </w:t>
            </w:r>
            <w:r>
              <w:rPr>
                <w:rFonts w:hint="eastAsia"/>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color w:val="000000"/>
                <w:szCs w:val="21"/>
              </w:rPr>
              <w:t>人员</w:t>
            </w:r>
          </w:p>
        </w:tc>
        <w:tc>
          <w:tcPr>
            <w:tcW w:w="960" w:type="dxa"/>
            <w:gridSpan w:val="2"/>
            <w:vMerge w:val="restart"/>
          </w:tcPr>
          <w:p>
            <w:pPr>
              <w:rPr>
                <w:color w:val="000000"/>
                <w:szCs w:val="21"/>
              </w:rPr>
            </w:pPr>
            <w:r>
              <w:rPr>
                <w:rFonts w:hint="eastAsia"/>
                <w:color w:val="000000"/>
                <w:szCs w:val="21"/>
              </w:rPr>
              <w:t>F7.1.1</w:t>
            </w:r>
          </w:p>
          <w:p>
            <w:pPr>
              <w:rPr>
                <w:color w:val="000000"/>
                <w:szCs w:val="21"/>
              </w:rPr>
            </w:pPr>
            <w:r>
              <w:rPr>
                <w:rFonts w:hint="eastAsia"/>
                <w:color w:val="000000"/>
                <w:szCs w:val="21"/>
              </w:rPr>
              <w:t>F7.1.2</w:t>
            </w:r>
          </w:p>
          <w:p>
            <w:pPr>
              <w:pStyle w:val="6"/>
            </w:pPr>
          </w:p>
          <w:p>
            <w:pPr>
              <w:rPr>
                <w:color w:val="000000"/>
                <w:szCs w:val="21"/>
              </w:rPr>
            </w:pPr>
          </w:p>
        </w:tc>
        <w:tc>
          <w:tcPr>
            <w:tcW w:w="745" w:type="dxa"/>
          </w:tcPr>
          <w:p>
            <w:r>
              <w:rPr>
                <w:rFonts w:hint="eastAsia"/>
              </w:rPr>
              <w:t>文件名称</w:t>
            </w:r>
          </w:p>
        </w:tc>
        <w:tc>
          <w:tcPr>
            <w:tcW w:w="9255" w:type="dxa"/>
          </w:tcPr>
          <w:p>
            <w:r>
              <w:rPr>
                <w:rFonts w:hint="eastAsia"/>
              </w:rPr>
              <w:t>如：</w:t>
            </w:r>
            <w:r>
              <w:rPr/>
              <w:sym w:font="Wingdings" w:char="00FE"/>
            </w:r>
            <w:r>
              <w:rPr>
                <w:rFonts w:hint="eastAsia"/>
              </w:rPr>
              <w:t xml:space="preserve">手册第7.1.1、7.1.2条款  </w:t>
            </w:r>
            <w:r>
              <w:rPr/>
              <w:sym w:font="Wingdings" w:char="00FE"/>
            </w:r>
            <w:r>
              <w:rPr>
                <w:rFonts w:hint="eastAsia"/>
              </w:rPr>
              <w:t>《人力资源管理和岗位培训程序》</w:t>
            </w:r>
          </w:p>
        </w:tc>
        <w:tc>
          <w:tcPr>
            <w:tcW w:w="1591" w:type="dxa"/>
            <w:vMerge w:val="restart"/>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163" w:type="dxa"/>
            <w:gridSpan w:val="2"/>
            <w:vMerge w:val="continue"/>
          </w:tcPr>
          <w:p/>
        </w:tc>
        <w:tc>
          <w:tcPr>
            <w:tcW w:w="960" w:type="dxa"/>
            <w:gridSpan w:val="2"/>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color w:val="000000"/>
                      <w:szCs w:val="21"/>
                    </w:rPr>
                    <w:t>4</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15</w:t>
                  </w:r>
                  <w:bookmarkStart w:id="0" w:name="_GoBack"/>
                  <w:bookmarkEnd w:id="0"/>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rFonts w:hint="eastAsia" w:eastAsia="宋体"/>
                      <w:color w:val="000000"/>
                      <w:szCs w:val="21"/>
                      <w:lang w:eastAsia="zh-CN"/>
                    </w:rPr>
                  </w:pPr>
                  <w:r>
                    <w:rPr>
                      <w:color w:val="000000"/>
                      <w:szCs w:val="21"/>
                    </w:rPr>
                    <w:t>1</w:t>
                  </w:r>
                  <w:r>
                    <w:rPr>
                      <w:rFonts w:hint="eastAsia"/>
                      <w:color w:val="000000"/>
                      <w:szCs w:val="21"/>
                      <w:lang w:val="en-US" w:eastAsia="zh-CN"/>
                    </w:rPr>
                    <w:t>9</w:t>
                  </w:r>
                </w:p>
              </w:tc>
            </w:tr>
          </w:tbl>
          <w:p/>
          <w:p>
            <w:r>
              <w:rPr>
                <w:rFonts w:hint="eastAsia"/>
              </w:rPr>
              <w:t>建立、 实施、 运行或评估食品安全管理体系时是否聘用外部专家：</w:t>
            </w:r>
            <w:r>
              <w:rPr>
                <w:rFonts w:hint="eastAsia"/>
              </w:rPr>
              <w:sym w:font="Wingdings" w:char="00A8"/>
            </w:r>
            <w:r>
              <w:rPr>
                <w:rFonts w:hint="eastAsia"/>
              </w:rPr>
              <w:t xml:space="preserve">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否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最高学历</w:t>
                  </w:r>
                </w:p>
              </w:tc>
              <w:tc>
                <w:tcPr>
                  <w:tcW w:w="4234" w:type="dxa"/>
                  <w:shd w:val="clear" w:color="auto" w:fill="auto"/>
                </w:tcPr>
                <w:p>
                  <w:r>
                    <w:rPr>
                      <w:rFonts w:hint="eastAsia"/>
                    </w:rPr>
                    <w:sym w:font="Wingdings" w:char="00A8"/>
                  </w:r>
                  <w:r>
                    <w:rPr>
                      <w:rFonts w:hint="eastAsia"/>
                    </w:rPr>
                    <w:t>专科</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教育专业</w:t>
                  </w:r>
                </w:p>
              </w:tc>
              <w:tc>
                <w:tcPr>
                  <w:tcW w:w="4234" w:type="dxa"/>
                  <w:shd w:val="clear" w:color="auto" w:fill="auto"/>
                </w:tcPr>
                <w:p>
                  <w:r>
                    <w:rPr>
                      <w:rFonts w:hint="eastAsia"/>
                    </w:rPr>
                    <w:sym w:font="Wingdings" w:char="00A8"/>
                  </w:r>
                  <w:r>
                    <w:rPr>
                      <w:rFonts w:hint="eastAsia"/>
                    </w:rPr>
                    <w:t>食品相应</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职称</w:t>
                  </w:r>
                </w:p>
              </w:tc>
              <w:tc>
                <w:tcPr>
                  <w:tcW w:w="4234" w:type="dxa"/>
                  <w:shd w:val="clear" w:color="auto" w:fill="auto"/>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专业工作经历</w:t>
                  </w:r>
                </w:p>
              </w:tc>
              <w:tc>
                <w:tcPr>
                  <w:tcW w:w="4234" w:type="dxa"/>
                  <w:shd w:val="clear" w:color="auto" w:fill="auto"/>
                </w:tcPr>
                <w:p>
                  <w:r>
                    <w:rPr>
                      <w:rFonts w:hint="eastAsia"/>
                    </w:rPr>
                    <w:t xml:space="preserve">    年</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责任和权限</w:t>
                  </w:r>
                </w:p>
              </w:tc>
              <w:tc>
                <w:tcPr>
                  <w:tcW w:w="4234" w:type="dxa"/>
                  <w:shd w:val="clear" w:color="auto" w:fill="auto"/>
                </w:tcPr>
                <w:p>
                  <w:r>
                    <w:rPr>
                      <w:rFonts w:hint="eastAsia"/>
                    </w:rPr>
                    <w:t>负责建立和保持管理体系</w:t>
                  </w:r>
                </w:p>
              </w:tc>
              <w:tc>
                <w:tcPr>
                  <w:tcW w:w="3015" w:type="dxa"/>
                  <w:shd w:val="clear" w:color="auto" w:fill="auto"/>
                </w:tcPr>
                <w:p/>
              </w:tc>
            </w:tr>
          </w:tbl>
          <w:p>
            <w:r>
              <w:rPr>
                <w:rFonts w:hint="eastAsia"/>
              </w:rPr>
              <w:t xml:space="preserve">        </w:t>
            </w:r>
          </w:p>
          <w:p>
            <w:r>
              <w:rPr>
                <w:rFonts w:hint="eastAsia"/>
              </w:rPr>
              <w:t>保留了外部专家的协议或合同。</w:t>
            </w:r>
            <w:r>
              <w:rPr>
                <w:rFonts w:hint="eastAsia"/>
              </w:rPr>
              <w:sym w:font="Wingdings" w:char="00A8"/>
            </w:r>
            <w:r>
              <w:rPr>
                <w:rFonts w:hint="eastAsia"/>
              </w:rPr>
              <w:t xml:space="preserve">是  </w:t>
            </w:r>
            <w:r>
              <w:rPr>
                <w:rFonts w:hint="eastAsia"/>
              </w:rPr>
              <w:sym w:font="Wingdings" w:char="00A8"/>
            </w:r>
            <w:r>
              <w:rPr>
                <w:rFonts w:hint="eastAsia"/>
              </w:rPr>
              <w:t>否 （不涉及）</w:t>
            </w:r>
          </w:p>
          <w:p>
            <w:r>
              <w:rPr>
                <w:rFonts w:hint="eastAsia"/>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3" w:hRule="atLeast"/>
        </w:trPr>
        <w:tc>
          <w:tcPr>
            <w:tcW w:w="2171" w:type="dxa"/>
            <w:gridSpan w:val="2"/>
            <w:vMerge w:val="restart"/>
            <w:shd w:val="clear" w:color="auto" w:fill="auto"/>
          </w:tcPr>
          <w:p>
            <w:r>
              <w:t>食品安全管理体系外部建立的要素</w:t>
            </w:r>
          </w:p>
        </w:tc>
        <w:tc>
          <w:tcPr>
            <w:tcW w:w="938" w:type="dxa"/>
            <w:vMerge w:val="restart"/>
            <w:shd w:val="clear" w:color="auto" w:fill="auto"/>
          </w:tcPr>
          <w:p>
            <w:r>
              <w:rPr>
                <w:rFonts w:hint="eastAsia"/>
                <w:color w:val="000000"/>
                <w:szCs w:val="21"/>
              </w:rPr>
              <w:t>F7.1.5</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7.1.5</w:t>
            </w:r>
            <w:r>
              <w:rPr>
                <w:rFonts w:hint="eastAsia"/>
              </w:rPr>
              <w:t>条款</w:t>
            </w:r>
          </w:p>
        </w:tc>
        <w:tc>
          <w:tcPr>
            <w:tcW w:w="1591" w:type="dxa"/>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0" w:hRule="atLeast"/>
        </w:trPr>
        <w:tc>
          <w:tcPr>
            <w:tcW w:w="2171" w:type="dxa"/>
            <w:gridSpan w:val="2"/>
            <w:vMerge w:val="continue"/>
            <w:shd w:val="clear" w:color="auto" w:fill="auto"/>
          </w:tcPr>
          <w:p/>
        </w:tc>
        <w:tc>
          <w:tcPr>
            <w:tcW w:w="938"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组织使用外部建立的FSMS要素，包括：</w:t>
            </w:r>
          </w:p>
          <w:p>
            <w:r>
              <w:fldChar w:fldCharType="begin"/>
            </w:r>
            <w:r>
              <w:instrText xml:space="preserve"> </w:instrText>
            </w:r>
            <w:r>
              <w:rPr>
                <w:rFonts w:hint="eastAsia"/>
              </w:rPr>
              <w:instrText xml:space="preserve">eq \o\ac(□,√)</w:instrText>
            </w:r>
            <w:r>
              <w:fldChar w:fldCharType="end"/>
            </w:r>
            <w:r>
              <w:rPr>
                <w:rFonts w:hint="eastAsia"/>
              </w:rPr>
              <w:t>建立PRP</w:t>
            </w:r>
          </w:p>
          <w:p>
            <w:r>
              <w:fldChar w:fldCharType="begin"/>
            </w:r>
            <w:r>
              <w:instrText xml:space="preserve"> </w:instrText>
            </w:r>
            <w:r>
              <w:rPr>
                <w:rFonts w:hint="eastAsia"/>
              </w:rPr>
              <w:instrText xml:space="preserve">eq \o\ac(□,√)</w:instrText>
            </w:r>
            <w:r>
              <w:fldChar w:fldCharType="end"/>
            </w:r>
            <w:r>
              <w:rPr>
                <w:rFonts w:hint="eastAsia"/>
              </w:rPr>
              <w:t>进行危害分析和危害控制计划</w:t>
            </w:r>
          </w:p>
          <w:p>
            <w:r>
              <w:fldChar w:fldCharType="begin"/>
            </w:r>
            <w:r>
              <w:instrText xml:space="preserve"> </w:instrText>
            </w:r>
            <w:r>
              <w:rPr>
                <w:rFonts w:hint="eastAsia"/>
              </w:rPr>
              <w:instrText xml:space="preserve">eq \o\ac(□,√)</w:instrText>
            </w:r>
            <w:r>
              <w:fldChar w:fldCharType="end"/>
            </w:r>
            <w:r>
              <w:rPr>
                <w:rFonts w:hint="eastAsia"/>
              </w:rPr>
              <w:t>建立、保持、更新和持续改进其FSMS</w:t>
            </w:r>
          </w:p>
          <w:p>
            <w:pPr>
              <w:pStyle w:val="2"/>
              <w:rPr>
                <w:rFonts w:hint="eastAsia"/>
              </w:rPr>
            </w:pPr>
            <w:r>
              <w:rPr>
                <w:rFonts w:hint="eastAsia"/>
              </w:rPr>
              <w:t>不涉及</w:t>
            </w:r>
          </w:p>
          <w:p/>
          <w:p>
            <w:r>
              <w:rPr>
                <w:rFonts w:hint="eastAsia"/>
              </w:rPr>
              <w:t>组织确保所提供的要素为：</w:t>
            </w:r>
          </w:p>
          <w:p>
            <w:r>
              <w:rPr>
                <w:rFonts w:hint="eastAsia"/>
              </w:rPr>
              <w:t xml:space="preserve">a） 以符合ISO22000标准要求的方式建立；               </w:t>
            </w:r>
            <w:r>
              <w:fldChar w:fldCharType="begin"/>
            </w:r>
            <w:r>
              <w:instrText xml:space="preserve"> </w:instrText>
            </w:r>
            <w:r>
              <w:rPr>
                <w:rFonts w:hint="eastAsia"/>
              </w:rPr>
              <w:instrText xml:space="preserve">eq \o\ac(□,√)</w:instrText>
            </w:r>
            <w: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t xml:space="preserve"> </w:t>
            </w:r>
            <w:r>
              <w:fldChar w:fldCharType="begin"/>
            </w:r>
            <w:r>
              <w:instrText xml:space="preserve"> </w:instrText>
            </w:r>
            <w:r>
              <w:rPr>
                <w:rFonts w:hint="eastAsia"/>
              </w:rPr>
              <w:instrText xml:space="preserve">eq \o\ac(□,√)</w:instrText>
            </w:r>
            <w: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fldChar w:fldCharType="begin"/>
            </w:r>
            <w:r>
              <w:instrText xml:space="preserve"> </w:instrText>
            </w:r>
            <w:r>
              <w:rPr>
                <w:rFonts w:hint="eastAsia"/>
              </w:rPr>
              <w:instrText xml:space="preserve">eq \o\ac(□,√)</w:instrText>
            </w:r>
            <w: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fldChar w:fldCharType="begin"/>
            </w:r>
            <w:r>
              <w:instrText xml:space="preserve"> </w:instrText>
            </w:r>
            <w:r>
              <w:rPr>
                <w:rFonts w:hint="eastAsia"/>
              </w:rPr>
              <w:instrText xml:space="preserve">eq \o\ac(□,√)</w:instrText>
            </w:r>
            <w: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fldChar w:fldCharType="begin"/>
            </w:r>
            <w:r>
              <w:instrText xml:space="preserve"> </w:instrText>
            </w:r>
            <w:r>
              <w:rPr>
                <w:rFonts w:hint="eastAsia"/>
              </w:rPr>
              <w:instrText xml:space="preserve">eq \o\ac(□,√)</w:instrText>
            </w:r>
            <w:r>
              <w:fldChar w:fldCharType="end"/>
            </w:r>
            <w:r>
              <w:rPr>
                <w:rFonts w:hint="eastAsia"/>
              </w:rPr>
              <w:t xml:space="preserve">是  </w:t>
            </w:r>
            <w:r>
              <w:rPr>
                <w:rFonts w:hint="eastAsia"/>
              </w:rPr>
              <w:sym w:font="Wingdings" w:char="00A8"/>
            </w:r>
            <w:r>
              <w:rPr>
                <w:rFonts w:hint="eastAsia"/>
              </w:rPr>
              <w:t>否</w:t>
            </w:r>
          </w:p>
          <w:p>
            <w:pPr>
              <w:pStyle w:val="6"/>
              <w:ind w:left="0" w:firstLine="0" w:firstLineChars="0"/>
            </w:pPr>
            <w:r>
              <w:rPr>
                <w:rFonts w:hint="eastAsia"/>
              </w:rPr>
              <w:t>见《前提方案》、《危害控制计划》</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85" w:type="dxa"/>
            <w:gridSpan w:val="3"/>
            <w:vMerge w:val="restart"/>
          </w:tcPr>
          <w:p>
            <w:r>
              <w:rPr>
                <w:rFonts w:hint="eastAsia"/>
              </w:rPr>
              <w:t>监视、测量、分析和评价</w:t>
            </w:r>
          </w:p>
          <w:p/>
        </w:tc>
        <w:tc>
          <w:tcPr>
            <w:tcW w:w="938" w:type="dxa"/>
            <w:vMerge w:val="restart"/>
          </w:tcPr>
          <w:p>
            <w:r>
              <w:rPr>
                <w:rFonts w:hint="eastAsia"/>
              </w:rPr>
              <w:t>F9.1.1</w:t>
            </w:r>
          </w:p>
          <w:p/>
        </w:tc>
        <w:tc>
          <w:tcPr>
            <w:tcW w:w="745" w:type="dxa"/>
          </w:tcPr>
          <w:p>
            <w:r>
              <w:rPr>
                <w:rFonts w:hint="eastAsia"/>
              </w:rPr>
              <w:t>文件名称</w:t>
            </w:r>
          </w:p>
        </w:tc>
        <w:tc>
          <w:tcPr>
            <w:tcW w:w="9255" w:type="dxa"/>
          </w:tcPr>
          <w:p>
            <w:pPr>
              <w:rPr>
                <w:b/>
                <w:bCs/>
              </w:rPr>
            </w:pPr>
            <w:r>
              <w:rPr>
                <w:rFonts w:hint="eastAsia"/>
              </w:rPr>
              <w:t>如：</w:t>
            </w:r>
            <w:r>
              <w:rPr>
                <w:rFonts w:hint="eastAsia"/>
              </w:rPr>
              <w:sym w:font="Wingdings" w:char="00FE"/>
            </w:r>
            <w:r>
              <w:rPr>
                <w:rFonts w:hint="eastAsia"/>
              </w:rPr>
              <w:t>管理手册9.1.1条款、</w:t>
            </w:r>
            <w:r>
              <w:rPr/>
              <w:sym w:font="Wingdings" w:char="00FE"/>
            </w:r>
            <w:r>
              <w:rPr>
                <w:rFonts w:hint="eastAsia"/>
              </w:rPr>
              <w:t>《产品监视和测量控制程序》</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5" w:type="dxa"/>
            <w:gridSpan w:val="3"/>
            <w:vMerge w:val="continue"/>
          </w:tcPr>
          <w:p/>
        </w:tc>
        <w:tc>
          <w:tcPr>
            <w:tcW w:w="938" w:type="dxa"/>
            <w:vMerge w:val="continue"/>
          </w:tcPr>
          <w:p/>
        </w:tc>
        <w:tc>
          <w:tcPr>
            <w:tcW w:w="745" w:type="dxa"/>
          </w:tcPr>
          <w:p>
            <w:r>
              <w:rPr>
                <w:rFonts w:hint="eastAsia"/>
              </w:rPr>
              <w:t>运行证据</w:t>
            </w:r>
          </w:p>
        </w:tc>
        <w:tc>
          <w:tcPr>
            <w:tcW w:w="9255" w:type="dxa"/>
          </w:tcPr>
          <w:p>
            <w:r>
              <w:rPr>
                <w:rFonts w:hint="eastAsia"/>
              </w:rPr>
              <w:t>组织对监视和测量的食品安全绩效：</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368"/>
              <w:gridCol w:w="1955"/>
              <w:gridCol w:w="1809"/>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监视和测量的对象</w:t>
                  </w:r>
                </w:p>
              </w:tc>
              <w:tc>
                <w:tcPr>
                  <w:tcW w:w="2368" w:type="dxa"/>
                </w:tcPr>
                <w:p>
                  <w:pPr>
                    <w:rPr>
                      <w:szCs w:val="21"/>
                    </w:rPr>
                  </w:pPr>
                  <w:r>
                    <w:rPr>
                      <w:rFonts w:hint="eastAsia"/>
                      <w:szCs w:val="21"/>
                    </w:rPr>
                    <w:t>监视、测量、分析和评价的方法</w:t>
                  </w:r>
                </w:p>
              </w:tc>
              <w:tc>
                <w:tcPr>
                  <w:tcW w:w="1955" w:type="dxa"/>
                </w:tcPr>
                <w:p>
                  <w:pPr>
                    <w:rPr>
                      <w:szCs w:val="21"/>
                    </w:rPr>
                  </w:pPr>
                  <w:r>
                    <w:rPr>
                      <w:rFonts w:hint="eastAsia"/>
                      <w:szCs w:val="21"/>
                    </w:rPr>
                    <w:t>监视和测量的频次和时机</w:t>
                  </w:r>
                </w:p>
              </w:tc>
              <w:tc>
                <w:tcPr>
                  <w:tcW w:w="1809" w:type="dxa"/>
                </w:tcPr>
                <w:p>
                  <w:pPr>
                    <w:rPr>
                      <w:szCs w:val="21"/>
                    </w:rPr>
                  </w:pPr>
                  <w:r>
                    <w:rPr>
                      <w:rFonts w:hint="eastAsia"/>
                      <w:szCs w:val="21"/>
                    </w:rPr>
                    <w:t>评价其食品安全绩效所依据的准则和适当的参数</w:t>
                  </w:r>
                </w:p>
              </w:tc>
              <w:tc>
                <w:tcPr>
                  <w:tcW w:w="1738" w:type="dxa"/>
                </w:tcPr>
                <w:p>
                  <w:pPr>
                    <w:rPr>
                      <w:szCs w:val="21"/>
                    </w:rPr>
                  </w:pPr>
                  <w:r>
                    <w:rPr>
                      <w:rFonts w:hint="eastAsia"/>
                      <w:szCs w:val="2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产品检测报告</w:t>
                  </w:r>
                </w:p>
              </w:tc>
              <w:tc>
                <w:tcPr>
                  <w:tcW w:w="2368" w:type="dxa"/>
                </w:tcPr>
                <w:p>
                  <w:pPr>
                    <w:rPr>
                      <w:szCs w:val="21"/>
                    </w:rPr>
                  </w:pPr>
                  <w:r>
                    <w:rPr>
                      <w:rFonts w:hint="eastAsia"/>
                      <w:szCs w:val="21"/>
                    </w:rPr>
                    <w:t>每年索取一次</w:t>
                  </w:r>
                </w:p>
              </w:tc>
              <w:tc>
                <w:tcPr>
                  <w:tcW w:w="1955" w:type="dxa"/>
                </w:tcPr>
                <w:p>
                  <w:pPr>
                    <w:rPr>
                      <w:szCs w:val="21"/>
                    </w:rPr>
                  </w:pPr>
                  <w:r>
                    <w:rPr>
                      <w:rFonts w:ascii="Segoe UI Emoji" w:hAnsi="Segoe UI Emoji" w:cs="Segoe UI Emoji"/>
                      <w:color w:val="000000"/>
                      <w:sz w:val="15"/>
                      <w:szCs w:val="15"/>
                    </w:rPr>
                    <w:t>☑</w:t>
                  </w:r>
                  <w:r>
                    <w:rPr>
                      <w:rFonts w:hint="eastAsia"/>
                      <w:color w:val="000000"/>
                      <w:szCs w:val="21"/>
                    </w:rPr>
                    <w:t>每年</w:t>
                  </w:r>
                </w:p>
              </w:tc>
              <w:tc>
                <w:tcPr>
                  <w:tcW w:w="1809" w:type="dxa"/>
                </w:tcPr>
                <w:p>
                  <w:pPr>
                    <w:rPr>
                      <w:szCs w:val="21"/>
                    </w:rPr>
                  </w:pPr>
                  <w:r>
                    <w:rPr>
                      <w:rFonts w:hint="eastAsia"/>
                      <w:szCs w:val="21"/>
                    </w:rPr>
                    <w:t>采购控制程序等文件要求</w:t>
                  </w:r>
                </w:p>
              </w:tc>
              <w:tc>
                <w:tcPr>
                  <w:tcW w:w="1738" w:type="dxa"/>
                </w:tcPr>
                <w:p>
                  <w:pPr>
                    <w:rPr>
                      <w:szCs w:val="21"/>
                    </w:rPr>
                  </w:pPr>
                  <w:r>
                    <w:rPr>
                      <w:rFonts w:hint="eastAsia" w:ascii="Segoe UI Emoji" w:hAnsi="Segoe UI Emoji" w:cs="Segoe UI Emoji"/>
                      <w:color w:val="000000"/>
                      <w:sz w:val="15"/>
                      <w:szCs w:val="15"/>
                    </w:rPr>
                    <w:t>□</w:t>
                  </w:r>
                  <w:r>
                    <w:rPr>
                      <w:rFonts w:hint="eastAsia"/>
                      <w:szCs w:val="21"/>
                    </w:rPr>
                    <w:t>每月</w:t>
                  </w:r>
                  <w:r>
                    <w:rPr>
                      <w:rFonts w:hint="eastAsia"/>
                      <w:color w:val="000000"/>
                      <w:szCs w:val="21"/>
                    </w:rPr>
                    <w:t xml:space="preserve"> </w:t>
                  </w:r>
                  <w:r>
                    <w:rPr>
                      <w:rFonts w:hint="eastAsia"/>
                      <w:color w:val="000000"/>
                      <w:szCs w:val="21"/>
                    </w:rPr>
                    <w:sym w:font="Wingdings 2" w:char="0052"/>
                  </w:r>
                  <w:r>
                    <w:rPr>
                      <w:rFonts w:hint="eastAsia"/>
                      <w:szCs w:val="21"/>
                    </w:rPr>
                    <w:t xml:space="preserve">每季度 </w:t>
                  </w:r>
                  <w:r>
                    <w:rPr>
                      <w:rFonts w:hint="eastAsia" w:ascii="Segoe UI Emoji" w:hAnsi="Segoe UI Emoji" w:cs="Segoe UI Emoji"/>
                      <w:color w:val="000000"/>
                      <w:sz w:val="15"/>
                      <w:szCs w:val="15"/>
                    </w:rPr>
                    <w:t>□</w:t>
                  </w:r>
                  <w:r>
                    <w:rPr>
                      <w:rFonts w:hint="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过程</w:t>
                  </w:r>
                </w:p>
              </w:tc>
              <w:tc>
                <w:tcPr>
                  <w:tcW w:w="2368" w:type="dxa"/>
                </w:tcPr>
                <w:p>
                  <w:pPr>
                    <w:rPr>
                      <w:szCs w:val="21"/>
                    </w:rPr>
                  </w:pPr>
                  <w:r>
                    <w:rPr>
                      <w:rFonts w:hint="eastAsia"/>
                      <w:szCs w:val="21"/>
                    </w:rPr>
                    <w:t>现场巡视</w:t>
                  </w:r>
                </w:p>
                <w:p>
                  <w:pPr>
                    <w:rPr>
                      <w:szCs w:val="21"/>
                    </w:rPr>
                  </w:pPr>
                  <w:r>
                    <w:rPr>
                      <w:rFonts w:hint="eastAsia"/>
                      <w:szCs w:val="21"/>
                    </w:rPr>
                    <w:t>抽查记录</w:t>
                  </w:r>
                </w:p>
                <w:p>
                  <w:pPr>
                    <w:rPr>
                      <w:szCs w:val="21"/>
                    </w:rPr>
                  </w:pPr>
                  <w:r>
                    <w:rPr>
                      <w:rFonts w:hint="eastAsia"/>
                      <w:szCs w:val="21"/>
                    </w:rPr>
                    <w:t>对目标、供方业绩、过程业绩、满意度进行统计</w:t>
                  </w:r>
                </w:p>
              </w:tc>
              <w:tc>
                <w:tcPr>
                  <w:tcW w:w="1955" w:type="dxa"/>
                </w:tcPr>
                <w:p>
                  <w:pPr>
                    <w:rPr>
                      <w:szCs w:val="21"/>
                    </w:rPr>
                  </w:pPr>
                  <w:r>
                    <w:rPr>
                      <w:rFonts w:ascii="Segoe UI Emoji" w:hAnsi="Segoe UI Emoji" w:cs="Segoe UI Emoji"/>
                      <w:color w:val="000000"/>
                      <w:sz w:val="15"/>
                      <w:szCs w:val="15"/>
                    </w:rPr>
                    <w:t>☑</w:t>
                  </w:r>
                  <w:r>
                    <w:rPr>
                      <w:rFonts w:hint="eastAsia"/>
                      <w:szCs w:val="21"/>
                    </w:rPr>
                    <w:t>定期检查</w:t>
                  </w:r>
                </w:p>
                <w:p>
                  <w:pPr>
                    <w:rPr>
                      <w:szCs w:val="21"/>
                    </w:rPr>
                  </w:pPr>
                  <w:r>
                    <w:rPr>
                      <w:rFonts w:ascii="Segoe UI Emoji" w:hAnsi="Segoe UI Emoji" w:cs="Segoe UI Emoji"/>
                      <w:color w:val="000000"/>
                      <w:sz w:val="15"/>
                      <w:szCs w:val="15"/>
                    </w:rPr>
                    <w:t>☑</w:t>
                  </w:r>
                  <w:r>
                    <w:rPr>
                      <w:rFonts w:hint="eastAsia"/>
                      <w:szCs w:val="21"/>
                    </w:rPr>
                    <w:t>抽查</w:t>
                  </w:r>
                </w:p>
                <w:p>
                  <w:pPr>
                    <w:rPr>
                      <w:szCs w:val="21"/>
                    </w:rPr>
                  </w:pPr>
                  <w:r>
                    <w:rPr>
                      <w:rFonts w:ascii="Segoe UI Emoji" w:hAnsi="Segoe UI Emoji" w:cs="Segoe UI Emoji"/>
                      <w:color w:val="000000"/>
                      <w:sz w:val="15"/>
                      <w:szCs w:val="15"/>
                    </w:rPr>
                    <w:t>☑</w:t>
                  </w:r>
                  <w:r>
                    <w:rPr>
                      <w:rFonts w:hint="eastAsia"/>
                      <w:color w:val="000000"/>
                      <w:szCs w:val="21"/>
                    </w:rPr>
                    <w:t>每年</w:t>
                  </w:r>
                </w:p>
              </w:tc>
              <w:tc>
                <w:tcPr>
                  <w:tcW w:w="1809" w:type="dxa"/>
                </w:tcPr>
                <w:p>
                  <w:pPr>
                    <w:rPr>
                      <w:szCs w:val="21"/>
                    </w:rPr>
                  </w:pPr>
                  <w:r>
                    <w:rPr>
                      <w:rFonts w:hint="eastAsia"/>
                      <w:szCs w:val="21"/>
                    </w:rPr>
                    <w:t>相关标准、程序文件要求等</w:t>
                  </w:r>
                </w:p>
              </w:tc>
              <w:tc>
                <w:tcPr>
                  <w:tcW w:w="1738" w:type="dxa"/>
                </w:tcPr>
                <w:p>
                  <w:pPr>
                    <w:widowControl/>
                    <w:spacing w:before="40"/>
                    <w:jc w:val="left"/>
                    <w:rPr>
                      <w:color w:val="000000"/>
                      <w:szCs w:val="21"/>
                    </w:rPr>
                  </w:pPr>
                  <w:r>
                    <w:rPr>
                      <w:rFonts w:hint="eastAsia" w:ascii="Segoe UI Emoji" w:hAnsi="Segoe UI Emoji" w:cs="Segoe UI Emoji"/>
                      <w:color w:val="000000"/>
                      <w:sz w:val="15"/>
                      <w:szCs w:val="15"/>
                    </w:rPr>
                    <w:t>□</w:t>
                  </w:r>
                  <w:r>
                    <w:rPr>
                      <w:rFonts w:hint="eastAsia"/>
                      <w:szCs w:val="21"/>
                    </w:rPr>
                    <w:t>每月</w:t>
                  </w:r>
                  <w:r>
                    <w:rPr>
                      <w:rFonts w:hint="eastAsia"/>
                      <w:color w:val="000000"/>
                      <w:szCs w:val="21"/>
                    </w:rPr>
                    <w:t xml:space="preserve"> </w:t>
                  </w:r>
                  <w:r>
                    <w:rPr>
                      <w:rFonts w:hint="eastAsia"/>
                      <w:color w:val="000000"/>
                      <w:szCs w:val="21"/>
                    </w:rPr>
                    <w:sym w:font="Wingdings 2" w:char="0052"/>
                  </w:r>
                  <w:r>
                    <w:rPr>
                      <w:rFonts w:hint="eastAsia"/>
                      <w:szCs w:val="21"/>
                    </w:rPr>
                    <w:t xml:space="preserve">每季度 </w:t>
                  </w:r>
                  <w:r>
                    <w:rPr>
                      <w:rFonts w:hint="eastAsia" w:ascii="Segoe UI Emoji" w:hAnsi="Segoe UI Emoji" w:cs="Segoe UI Emoji"/>
                      <w:color w:val="000000"/>
                      <w:sz w:val="15"/>
                      <w:szCs w:val="15"/>
                    </w:rPr>
                    <w:t>□</w:t>
                  </w:r>
                  <w:r>
                    <w:rPr>
                      <w:rFonts w:hint="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w:t>
                  </w:r>
                </w:p>
              </w:tc>
              <w:tc>
                <w:tcPr>
                  <w:tcW w:w="2368" w:type="dxa"/>
                </w:tcPr>
                <w:p>
                  <w:pPr>
                    <w:rPr>
                      <w:szCs w:val="21"/>
                    </w:rPr>
                  </w:pPr>
                  <w:r>
                    <w:rPr>
                      <w:rFonts w:hint="eastAsia"/>
                      <w:szCs w:val="21"/>
                    </w:rPr>
                    <w:t>内部审核；对内审不符合项进行分析</w:t>
                  </w:r>
                </w:p>
              </w:tc>
              <w:tc>
                <w:tcPr>
                  <w:tcW w:w="1955" w:type="dxa"/>
                </w:tcPr>
                <w:p>
                  <w:pPr>
                    <w:rPr>
                      <w:szCs w:val="21"/>
                    </w:rPr>
                  </w:pPr>
                  <w:r>
                    <w:rPr>
                      <w:rFonts w:ascii="Segoe UI Emoji" w:hAnsi="Segoe UI Emoji" w:cs="Segoe UI Emoji"/>
                      <w:color w:val="000000"/>
                      <w:sz w:val="15"/>
                      <w:szCs w:val="15"/>
                    </w:rPr>
                    <w:t>☑</w:t>
                  </w:r>
                  <w:r>
                    <w:rPr>
                      <w:rFonts w:hint="eastAsia"/>
                      <w:szCs w:val="21"/>
                    </w:rPr>
                    <w:t>按年度内审计划</w:t>
                  </w:r>
                </w:p>
                <w:p>
                  <w:pPr>
                    <w:rPr>
                      <w:szCs w:val="21"/>
                    </w:rPr>
                  </w:pPr>
                  <w:r>
                    <w:rPr>
                      <w:rFonts w:hint="eastAsia"/>
                      <w:color w:val="000000"/>
                      <w:szCs w:val="21"/>
                    </w:rPr>
                    <w:sym w:font="Wingdings 2" w:char="0052"/>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r>
                    <w:rPr>
                      <w:rFonts w:hint="eastAsia"/>
                    </w:rPr>
                    <w:t>ISO22000：2018</w:t>
                  </w:r>
                </w:p>
                <w:p>
                  <w:pPr>
                    <w:pStyle w:val="6"/>
                    <w:ind w:left="0" w:firstLine="0" w:firstLineChars="0"/>
                  </w:pPr>
                  <w:r>
                    <w:rPr>
                      <w:rFonts w:hint="eastAsia"/>
                      <w:szCs w:val="21"/>
                    </w:rPr>
                    <w:t>《内部审核控制程序》</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体系有效性</w:t>
                  </w:r>
                </w:p>
              </w:tc>
              <w:tc>
                <w:tcPr>
                  <w:tcW w:w="2368" w:type="dxa"/>
                </w:tcPr>
                <w:p>
                  <w:pPr>
                    <w:rPr>
                      <w:szCs w:val="21"/>
                    </w:rPr>
                  </w:pPr>
                  <w:r>
                    <w:rPr>
                      <w:rFonts w:hint="eastAsia"/>
                      <w:szCs w:val="21"/>
                    </w:rPr>
                    <w:t>管理评审，对FSMS存在的需要问题进行分析</w:t>
                  </w:r>
                </w:p>
              </w:tc>
              <w:tc>
                <w:tcPr>
                  <w:tcW w:w="1955"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r>
                    <w:rPr>
                      <w:rFonts w:hint="eastAsia"/>
                    </w:rPr>
                    <w:t>ISO22000：2018</w:t>
                  </w:r>
                </w:p>
                <w:p>
                  <w:pPr>
                    <w:pStyle w:val="6"/>
                    <w:ind w:left="0" w:firstLine="0" w:firstLineChars="0"/>
                  </w:pPr>
                  <w:r>
                    <w:rPr>
                      <w:rFonts w:hint="eastAsia"/>
                      <w:szCs w:val="21"/>
                    </w:rPr>
                    <w:t>《管理评审控制程序》</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相关方反馈</w:t>
                  </w:r>
                </w:p>
              </w:tc>
              <w:tc>
                <w:tcPr>
                  <w:tcW w:w="2368" w:type="dxa"/>
                </w:tcPr>
                <w:p>
                  <w:pPr>
                    <w:rPr>
                      <w:szCs w:val="21"/>
                    </w:rPr>
                  </w:pPr>
                  <w:r>
                    <w:rPr>
                      <w:rFonts w:hint="eastAsia"/>
                      <w:szCs w:val="21"/>
                    </w:rPr>
                    <w:t>反馈处理，对问题进行统计</w:t>
                  </w:r>
                </w:p>
              </w:tc>
              <w:tc>
                <w:tcPr>
                  <w:tcW w:w="1955"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p>
              </w:tc>
              <w:tc>
                <w:tcPr>
                  <w:tcW w:w="1809" w:type="dxa"/>
                </w:tcPr>
                <w:p>
                  <w:pPr>
                    <w:rPr>
                      <w:szCs w:val="21"/>
                    </w:rPr>
                  </w:pPr>
                  <w:r>
                    <w:rPr>
                      <w:rFonts w:hint="eastAsia"/>
                      <w:szCs w:val="21"/>
                    </w:rPr>
                    <w:t>按企业程序文件</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bl>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5" w:type="dxa"/>
            <w:gridSpan w:val="3"/>
            <w:vMerge w:val="restart"/>
          </w:tcPr>
          <w:p>
            <w:r>
              <w:rPr>
                <w:rFonts w:hint="eastAsia"/>
              </w:rPr>
              <w:t>管理评审</w:t>
            </w:r>
          </w:p>
          <w:p/>
        </w:tc>
        <w:tc>
          <w:tcPr>
            <w:tcW w:w="938" w:type="dxa"/>
            <w:vMerge w:val="restart"/>
          </w:tcPr>
          <w:p>
            <w:r>
              <w:rPr>
                <w:rFonts w:hint="eastAsia"/>
              </w:rPr>
              <w:t>F9.3</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 xml:space="preserve">《管理评审控制程序》 </w:t>
            </w:r>
          </w:p>
        </w:tc>
        <w:tc>
          <w:tcPr>
            <w:tcW w:w="15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85" w:type="dxa"/>
            <w:gridSpan w:val="3"/>
            <w:vMerge w:val="continue"/>
          </w:tcPr>
          <w:p/>
        </w:tc>
        <w:tc>
          <w:tcPr>
            <w:tcW w:w="938" w:type="dxa"/>
            <w:vMerge w:val="continue"/>
          </w:tcPr>
          <w:p/>
        </w:tc>
        <w:tc>
          <w:tcPr>
            <w:tcW w:w="745" w:type="dxa"/>
          </w:tcPr>
          <w:p>
            <w:pPr>
              <w:widowControl/>
              <w:spacing w:before="40"/>
              <w:jc w:val="left"/>
              <w:rPr>
                <w:color w:val="000000"/>
                <w:szCs w:val="18"/>
              </w:rPr>
            </w:pPr>
          </w:p>
          <w:p>
            <w:r>
              <w:rPr>
                <w:rFonts w:hint="eastAsia"/>
              </w:rPr>
              <w:t>运行证据</w:t>
            </w:r>
          </w:p>
        </w:tc>
        <w:tc>
          <w:tcPr>
            <w:tcW w:w="9255" w:type="dxa"/>
          </w:tcPr>
          <w:p>
            <w:pPr>
              <w:widowControl/>
              <w:spacing w:before="40"/>
              <w:jc w:val="left"/>
              <w:rPr>
                <w:color w:val="000000"/>
                <w:szCs w:val="18"/>
              </w:rPr>
            </w:pPr>
            <w:r>
              <w:rPr>
                <w:rFonts w:hint="eastAsia"/>
                <w:color w:val="000000"/>
                <w:szCs w:val="18"/>
              </w:rPr>
              <w:t>自</w:t>
            </w:r>
            <w:r>
              <w:rPr/>
              <w:sym w:font="Wingdings" w:char="00A8"/>
            </w:r>
            <w:r>
              <w:rPr>
                <w:rFonts w:hint="eastAsia"/>
                <w:color w:val="000000"/>
                <w:szCs w:val="18"/>
              </w:rPr>
              <w:t>管理体系建立后/</w:t>
            </w:r>
            <w:r>
              <w:rPr/>
              <w:sym w:font="Wingdings" w:char="00FE"/>
            </w:r>
            <w:r>
              <w:rPr>
                <w:rFonts w:hint="eastAsia"/>
              </w:rPr>
              <w:t>近一年</w:t>
            </w:r>
            <w:r>
              <w:rPr>
                <w:rFonts w:hint="eastAsia"/>
                <w:color w:val="000000"/>
                <w:szCs w:val="18"/>
              </w:rPr>
              <w:t>，于</w:t>
            </w:r>
            <w:r>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rPr>
              <w:t xml:space="preserve"> 6</w:t>
            </w:r>
            <w:r>
              <w:rPr>
                <w:color w:val="000000"/>
                <w:szCs w:val="18"/>
                <w:u w:val="single"/>
              </w:rPr>
              <w:t xml:space="preserve"> </w:t>
            </w:r>
            <w:r>
              <w:rPr>
                <w:rFonts w:hint="eastAsia"/>
                <w:color w:val="000000"/>
                <w:szCs w:val="18"/>
              </w:rPr>
              <w:t>月</w:t>
            </w:r>
            <w:r>
              <w:rPr>
                <w:rFonts w:hint="eastAsia"/>
                <w:color w:val="000000"/>
                <w:szCs w:val="18"/>
                <w:u w:val="single"/>
              </w:rPr>
              <w:t xml:space="preserve"> 5</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sym w:font="Wingdings" w:char="00FE"/>
                  </w: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sym w:font="Wingdings" w:char="00FE"/>
                  </w:r>
                  <w:r>
                    <w:rPr>
                      <w:rFonts w:hint="eastAsia"/>
                    </w:rPr>
                    <w:t xml:space="preserve"> </w:t>
                  </w:r>
                  <w:r>
                    <w:rPr>
                      <w:color w:val="000000"/>
                      <w:szCs w:val="21"/>
                    </w:rPr>
                    <w:t>组织所处形势的变化</w:t>
                  </w:r>
                  <w:r>
                    <w:rPr>
                      <w:rFonts w:hint="eastAsia"/>
                    </w:rPr>
                    <w:t>；</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发生的紧急情况、事故或撤回；</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审核结果（内部和外部） 包括执法检查结果</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与PRP、 OPRP计划和HACCP计划有关的验证活动结果的分析</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实现食品安全管理体系目标的程度</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紧急情况、 事故或撤回</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sym w:font="Wingdings 2" w:char="0052"/>
                  </w:r>
                  <w:r>
                    <w:rPr>
                      <w:rFonts w:hint="eastAsia"/>
                    </w:rPr>
                    <w:t>资源的充分性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现有资源充分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color w:val="000000"/>
                <w:szCs w:val="21"/>
              </w:rPr>
              <w:sym w:font="Wingdings 2" w:char="0052"/>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695"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695" w:type="dxa"/>
                </w:tcPr>
                <w:p>
                  <w:pPr>
                    <w:widowControl/>
                    <w:jc w:val="left"/>
                    <w:rPr>
                      <w:color w:val="000000"/>
                      <w:szCs w:val="21"/>
                    </w:rPr>
                  </w:pPr>
                  <w:r>
                    <w:rPr>
                      <w:rFonts w:hint="eastAsia"/>
                      <w:color w:val="000000"/>
                      <w:szCs w:val="21"/>
                    </w:rPr>
                    <w:t>加强员工对ISO22000：2018标准、危害控制计划等的培训</w:t>
                  </w:r>
                </w:p>
              </w:tc>
              <w:tc>
                <w:tcPr>
                  <w:tcW w:w="2496" w:type="dxa"/>
                </w:tcPr>
                <w:p>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食品安全管理体系所需的变更</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食品安全目标未实现所采取的措施。（需要时）</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Pr>
              <w:rPr>
                <w:highlight w:val="cyan"/>
              </w:rPr>
            </w:pPr>
          </w:p>
          <w:p>
            <w:r>
              <w:rPr>
                <w:rFonts w:hint="eastAsia"/>
              </w:rPr>
              <w:sym w:font="Wingdings" w:char="00FE"/>
            </w:r>
            <w:r>
              <w:rPr>
                <w:rFonts w:hint="eastAsia"/>
              </w:rPr>
              <w:t>改进措施未落实的原因：</w:t>
            </w:r>
            <w:r>
              <w:rPr>
                <w:rFonts w:hint="eastAsia"/>
                <w:u w:val="single"/>
              </w:rPr>
              <w:t xml:space="preserve">  计划2021年7月底前完成               </w:t>
            </w:r>
          </w:p>
        </w:tc>
        <w:tc>
          <w:tcPr>
            <w:tcW w:w="1591"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85" w:type="dxa"/>
            <w:gridSpan w:val="3"/>
            <w:vMerge w:val="restart"/>
          </w:tcPr>
          <w:p>
            <w:r>
              <w:rPr>
                <w:rFonts w:hint="eastAsia"/>
              </w:rPr>
              <w:t>持续改进</w:t>
            </w:r>
          </w:p>
        </w:tc>
        <w:tc>
          <w:tcPr>
            <w:tcW w:w="938" w:type="dxa"/>
            <w:vMerge w:val="restart"/>
          </w:tcPr>
          <w:p>
            <w:r>
              <w:rPr>
                <w:rFonts w:hint="eastAsia"/>
              </w:rPr>
              <w:t>F10.2</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管理手册10.2条款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85" w:type="dxa"/>
            <w:gridSpan w:val="3"/>
            <w:vMerge w:val="continue"/>
          </w:tcPr>
          <w:p/>
        </w:tc>
        <w:tc>
          <w:tcPr>
            <w:tcW w:w="938" w:type="dxa"/>
            <w:vMerge w:val="continue"/>
          </w:tcPr>
          <w:p/>
        </w:tc>
        <w:tc>
          <w:tcPr>
            <w:tcW w:w="745" w:type="dxa"/>
          </w:tcPr>
          <w:p>
            <w:r>
              <w:rPr>
                <w:rFonts w:hint="eastAsia"/>
              </w:rPr>
              <w:t>运行证据</w:t>
            </w:r>
          </w:p>
        </w:tc>
        <w:tc>
          <w:tcPr>
            <w:tcW w:w="9255" w:type="dxa"/>
          </w:tcPr>
          <w:p>
            <w:r>
              <w:rPr>
                <w:rFonts w:hint="eastAsia"/>
              </w:rPr>
              <w:t xml:space="preserve">组织已持续改进食品安全管理体系的适宜性、充分性和有效性，以提升食品安全绩效。 </w:t>
            </w:r>
          </w:p>
          <w:p>
            <w:r>
              <w:rPr>
                <w:rFonts w:hint="eastAsia"/>
              </w:rPr>
              <w:t>组织考虑了分析和评价的结果以及管理评审的输出，确定是否存在需求或机遇，这些需求或机遇应作为持续改进的一部分加以应对。</w:t>
            </w:r>
          </w:p>
          <w:p>
            <w:pPr>
              <w:pStyle w:val="6"/>
            </w:pPr>
          </w:p>
          <w:p>
            <w:r>
              <w:rPr>
                <w:rFonts w:hint="eastAsia"/>
              </w:rPr>
              <w:sym w:font="Wingdings" w:char="00A8"/>
            </w:r>
            <w:r>
              <w:rPr>
                <w:rFonts w:hint="eastAsia"/>
              </w:rPr>
              <w:t xml:space="preserve"> 改进措施已落实</w:t>
            </w:r>
          </w:p>
          <w:p>
            <w:r>
              <w:rPr>
                <w:rFonts w:hint="eastAsia"/>
              </w:rPr>
              <w:sym w:font="Wingdings" w:char="00FE"/>
            </w:r>
            <w:r>
              <w:rPr>
                <w:rFonts w:hint="eastAsia"/>
              </w:rPr>
              <w:t xml:space="preserve"> 改进措施未落实的原因：</w:t>
            </w:r>
            <w:r>
              <w:rPr>
                <w:rFonts w:hint="eastAsia"/>
                <w:u w:val="single"/>
              </w:rPr>
              <w:t xml:space="preserve">  管理评审输出的改进措施，计划在2021年7月底前完成                  </w:t>
            </w:r>
          </w:p>
          <w:p>
            <w:r>
              <w:rPr>
                <w:rFonts w:hint="eastAsia"/>
              </w:rPr>
              <w:t>最高管理者应确保组织通过以下活动， 持续改进食品安全管理体系的有效性：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验证活动结果分析 </w:t>
            </w:r>
            <w:r>
              <w:rPr>
                <w:rFonts w:hint="eastAsia"/>
              </w:rPr>
              <w:sym w:font="Wingdings" w:char="00FE"/>
            </w:r>
            <w:r>
              <w:rPr>
                <w:rFonts w:hint="eastAsia"/>
              </w:rPr>
              <w:t>控制措施验证和控制措施组合</w:t>
            </w:r>
          </w:p>
          <w:p>
            <w:r>
              <w:rPr>
                <w:rFonts w:hint="eastAsia"/>
              </w:rPr>
              <w:sym w:font="Wingdings" w:char="00FE"/>
            </w:r>
            <w:r>
              <w:rPr>
                <w:rFonts w:hint="eastAsia"/>
              </w:rPr>
              <w:t xml:space="preserve">纠正措施  </w:t>
            </w:r>
            <w:r>
              <w:rPr>
                <w:rFonts w:hint="eastAsia"/>
              </w:rPr>
              <w:sym w:font="Wingdings" w:char="00FE"/>
            </w:r>
            <w:r>
              <w:rPr>
                <w:rFonts w:hint="eastAsia"/>
              </w:rPr>
              <w:t>FSMS更新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85" w:type="dxa"/>
            <w:gridSpan w:val="3"/>
            <w:vMerge w:val="restart"/>
          </w:tcPr>
          <w:p>
            <w:r>
              <w:rPr>
                <w:rFonts w:hint="eastAsia"/>
              </w:rPr>
              <w:t>食品安全管理体系的更新</w:t>
            </w:r>
          </w:p>
          <w:p/>
        </w:tc>
        <w:tc>
          <w:tcPr>
            <w:tcW w:w="938" w:type="dxa"/>
            <w:vMerge w:val="restart"/>
          </w:tcPr>
          <w:p>
            <w:r>
              <w:rPr>
                <w:rFonts w:hint="eastAsia"/>
              </w:rPr>
              <w:t>F10.3</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管理手册10.3条款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85" w:type="dxa"/>
            <w:gridSpan w:val="3"/>
            <w:vMerge w:val="continue"/>
          </w:tcPr>
          <w:p/>
        </w:tc>
        <w:tc>
          <w:tcPr>
            <w:tcW w:w="938" w:type="dxa"/>
            <w:vMerge w:val="continue"/>
          </w:tcPr>
          <w:p/>
        </w:tc>
        <w:tc>
          <w:tcPr>
            <w:tcW w:w="745" w:type="dxa"/>
          </w:tcPr>
          <w:p>
            <w:r>
              <w:rPr>
                <w:rFonts w:hint="eastAsia"/>
              </w:rPr>
              <w:t>运行证据</w:t>
            </w:r>
          </w:p>
        </w:tc>
        <w:tc>
          <w:tcPr>
            <w:tcW w:w="9255" w:type="dxa"/>
          </w:tcPr>
          <w:p>
            <w:pPr>
              <w:rPr>
                <w:u w:val="single"/>
              </w:rPr>
            </w:pPr>
            <w:r>
              <w:t>最高管理者确保FSMS持续更新。</w:t>
            </w:r>
            <w:r>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r>
              <w:t>食品安全小组应按计划间隔</w:t>
            </w:r>
            <w:r>
              <w:rPr>
                <w:rFonts w:hint="eastAsia"/>
              </w:rPr>
              <w:t>（</w:t>
            </w:r>
            <w:r>
              <w:rPr>
                <w:rFonts w:hint="eastAsia"/>
              </w:rPr>
              <w:sym w:font="Wingdings" w:char="00A8"/>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
              <w:rPr>
                <w:rFonts w:hint="eastAsia"/>
              </w:rPr>
              <w:sym w:font="Wingdings" w:char="00FE"/>
            </w:r>
            <w:r>
              <w:t>有必要审查危害分析</w:t>
            </w:r>
          </w:p>
          <w:p>
            <w:r>
              <w:rPr>
                <w:rFonts w:hint="eastAsia"/>
              </w:rPr>
              <w:sym w:font="Wingdings" w:char="00FE"/>
            </w:r>
            <w:r>
              <w:t>已建立的危害控制计划</w:t>
            </w:r>
          </w:p>
          <w:p>
            <w:r>
              <w:rPr>
                <w:rFonts w:hint="eastAsia"/>
              </w:rPr>
              <w:sym w:font="Wingdings" w:char="00FE"/>
            </w:r>
            <w:r>
              <w:t>已建立的PRP。</w:t>
            </w:r>
          </w:p>
          <w:p>
            <w:r>
              <w:t>更新活动应基于：</w:t>
            </w:r>
          </w:p>
          <w:p>
            <w:r>
              <w:rPr>
                <w:rFonts w:hint="eastAsia"/>
              </w:rPr>
              <w:sym w:font="Wingdings" w:char="00FE"/>
            </w:r>
            <w:r>
              <w:rPr>
                <w:rFonts w:hint="eastAsia"/>
              </w:rPr>
              <w:t xml:space="preserve"> </w:t>
            </w:r>
            <w:r>
              <w:t>来自外部和内部通信的输入；</w:t>
            </w:r>
          </w:p>
          <w:p>
            <w:r>
              <w:rPr>
                <w:rFonts w:hint="eastAsia"/>
              </w:rPr>
              <w:sym w:font="Wingdings" w:char="00FE"/>
            </w:r>
            <w:r>
              <w:rPr>
                <w:rFonts w:hint="eastAsia"/>
              </w:rPr>
              <w:t xml:space="preserve"> </w:t>
            </w:r>
            <w:r>
              <w:t>其他有关食品安全管理系统的适宜性、充分性和有效性的信息的输入；</w:t>
            </w:r>
          </w:p>
          <w:p>
            <w:r>
              <w:rPr>
                <w:rFonts w:hint="eastAsia"/>
              </w:rPr>
              <w:sym w:font="Wingdings" w:char="00FE"/>
            </w:r>
            <w:r>
              <w:rPr>
                <w:rFonts w:hint="eastAsia"/>
              </w:rPr>
              <w:t xml:space="preserve"> </w:t>
            </w:r>
            <w:r>
              <w:t>验证活动结果分析的输出；</w:t>
            </w:r>
          </w:p>
          <w:p>
            <w:r>
              <w:rPr>
                <w:rFonts w:hint="eastAsia"/>
              </w:rPr>
              <w:sym w:font="Wingdings" w:char="00FE"/>
            </w:r>
            <w:r>
              <w:rPr>
                <w:rFonts w:hint="eastAsia"/>
              </w:rPr>
              <w:t xml:space="preserve"> </w:t>
            </w:r>
            <w:r>
              <w:t>管理评审的输出。</w:t>
            </w:r>
          </w:p>
          <w:p>
            <w:r>
              <w:t>系统更新活动</w:t>
            </w:r>
            <w:r>
              <w:rPr>
                <w:rFonts w:hint="eastAsia"/>
              </w:rPr>
              <w:t>保留的</w:t>
            </w:r>
            <w:r>
              <w:t>文件化信息</w:t>
            </w:r>
            <w:r>
              <w:rPr>
                <w:rFonts w:hint="eastAsia"/>
              </w:rPr>
              <w:t>为</w:t>
            </w:r>
            <w:r>
              <w:rPr>
                <w:rFonts w:hint="eastAsia"/>
                <w:u w:val="single"/>
              </w:rPr>
              <w:t>： 《</w:t>
            </w:r>
            <w:r>
              <w:rPr>
                <w:u w:val="single"/>
              </w:rPr>
              <w:t>B</w:t>
            </w:r>
            <w:r>
              <w:rPr>
                <w:rFonts w:hint="eastAsia"/>
                <w:u w:val="single"/>
              </w:rPr>
              <w:t xml:space="preserve">版 综合管理手册》    </w:t>
            </w:r>
            <w:r>
              <w:rPr>
                <w:rFonts w:hint="eastAsia"/>
              </w:rPr>
              <w:t xml:space="preserve"> </w:t>
            </w:r>
            <w:r>
              <w:t>，作为输入报告给管理评审。</w:t>
            </w:r>
          </w:p>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85" w:type="dxa"/>
            <w:gridSpan w:val="3"/>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38" w:type="dxa"/>
          </w:tcPr>
          <w:p>
            <w:pPr>
              <w:rPr>
                <w:b/>
              </w:rPr>
            </w:pPr>
          </w:p>
        </w:tc>
        <w:tc>
          <w:tcPr>
            <w:tcW w:w="745" w:type="dxa"/>
          </w:tcPr>
          <w:p>
            <w:pPr>
              <w:spacing w:line="360" w:lineRule="auto"/>
              <w:ind w:firstLine="315" w:firstLineChars="150"/>
              <w:jc w:val="left"/>
              <w:rPr>
                <w:rFonts w:ascii="宋体" w:hAnsi="宋体" w:cs="宋体"/>
                <w:color w:val="000000"/>
                <w:szCs w:val="24"/>
              </w:rPr>
            </w:pPr>
          </w:p>
        </w:tc>
        <w:tc>
          <w:tcPr>
            <w:tcW w:w="9255" w:type="dxa"/>
          </w:tcPr>
          <w:p>
            <w:pPr>
              <w:spacing w:line="360" w:lineRule="auto"/>
              <w:ind w:firstLine="315" w:firstLineChars="150"/>
              <w:jc w:val="left"/>
              <w:rPr>
                <w:rFonts w:ascii="宋体" w:hAnsi="宋体" w:cs="宋体"/>
                <w:szCs w:val="21"/>
              </w:rPr>
            </w:pPr>
            <w:r>
              <w:rPr>
                <w:rFonts w:hint="eastAsia" w:ascii="宋体" w:hAnsi="宋体" w:cs="宋体"/>
                <w:szCs w:val="21"/>
              </w:rPr>
              <w:t>现场确认：发生变更如下：</w:t>
            </w:r>
          </w:p>
          <w:p>
            <w:pPr>
              <w:numPr>
                <w:ilvl w:val="0"/>
                <w:numId w:val="4"/>
              </w:numPr>
              <w:rPr>
                <w:szCs w:val="21"/>
              </w:rPr>
            </w:pPr>
            <w:r>
              <w:rPr>
                <w:rFonts w:hint="eastAsia"/>
                <w:b/>
                <w:szCs w:val="21"/>
              </w:rPr>
              <w:t>认证标准变更</w:t>
            </w:r>
            <w:r>
              <w:rPr>
                <w:rFonts w:hint="eastAsia"/>
                <w:szCs w:val="21"/>
              </w:rPr>
              <w:t>：</w:t>
            </w:r>
          </w:p>
          <w:p>
            <w:pPr>
              <w:rPr>
                <w:szCs w:val="21"/>
                <w:u w:val="single"/>
              </w:rPr>
            </w:pPr>
            <w:r>
              <w:rPr>
                <w:rFonts w:hint="eastAsia"/>
                <w:szCs w:val="21"/>
              </w:rPr>
              <w:t>原：专项技术要求T/CCAA 29-2016《食品安全管理体系食品批发和零售企业要求》</w:t>
            </w:r>
          </w:p>
          <w:p>
            <w:pPr>
              <w:spacing w:before="62" w:beforeLines="20"/>
              <w:rPr>
                <w:szCs w:val="21"/>
              </w:rPr>
            </w:pPr>
            <w:r>
              <w:rPr>
                <w:rFonts w:hint="eastAsia"/>
                <w:szCs w:val="21"/>
              </w:rPr>
              <w:t>现：专项技术要求CCAA 0021-2014 《食品安全管理体系运输和贮藏企业要求》</w:t>
            </w:r>
          </w:p>
          <w:p>
            <w:pPr>
              <w:numPr>
                <w:ilvl w:val="0"/>
                <w:numId w:val="4"/>
              </w:numPr>
              <w:rPr>
                <w:szCs w:val="21"/>
              </w:rPr>
            </w:pPr>
            <w:r>
              <w:rPr>
                <w:rFonts w:hint="eastAsia"/>
                <w:b/>
                <w:szCs w:val="21"/>
              </w:rPr>
              <w:t>认证范围变更</w:t>
            </w:r>
            <w:r>
              <w:rPr>
                <w:rFonts w:hint="eastAsia"/>
                <w:szCs w:val="21"/>
              </w:rPr>
              <w:t>：</w:t>
            </w:r>
          </w:p>
          <w:p>
            <w:pPr>
              <w:snapToGrid w:val="0"/>
              <w:spacing w:line="240" w:lineRule="auto"/>
              <w:rPr>
                <w:rFonts w:hint="eastAsia" w:ascii="宋体" w:hAnsi="宋体"/>
                <w:sz w:val="24"/>
                <w:lang w:val="en-US" w:eastAsia="zh-CN"/>
              </w:rPr>
            </w:pPr>
            <w:r>
              <w:rPr>
                <w:rFonts w:hint="eastAsia" w:ascii="宋体" w:hAnsi="宋体"/>
                <w:lang w:val="en-US" w:eastAsia="zh-CN"/>
              </w:rPr>
              <w:t>原：</w:t>
            </w:r>
            <w:r>
              <w:rPr>
                <w:rFonts w:hint="eastAsia" w:ascii="宋体" w:hAnsi="宋体"/>
              </w:rPr>
              <w:t xml:space="preserve">冷冻水产和鲜活水产的销售 </w:t>
            </w:r>
          </w:p>
          <w:p>
            <w:pPr>
              <w:snapToGrid w:val="0"/>
              <w:spacing w:line="240" w:lineRule="auto"/>
              <w:ind w:left="480" w:hanging="480" w:hangingChars="200"/>
              <w:rPr>
                <w:rFonts w:hint="eastAsia"/>
                <w:b/>
                <w:color w:val="000000" w:themeColor="text1"/>
                <w:sz w:val="22"/>
                <w:szCs w:val="22"/>
                <w:lang w:eastAsia="zh-CN"/>
                <w14:textFill>
                  <w14:solidFill>
                    <w14:schemeClr w14:val="tx1"/>
                  </w14:solidFill>
                </w14:textFill>
              </w:rPr>
            </w:pPr>
            <w:r>
              <w:rPr>
                <w:rFonts w:hint="eastAsia" w:ascii="宋体" w:hAnsi="宋体"/>
                <w:sz w:val="24"/>
                <w:lang w:val="en-US" w:eastAsia="zh-CN"/>
              </w:rPr>
              <w:t>现</w:t>
            </w:r>
            <w:r>
              <w:rPr>
                <w:rFonts w:hint="eastAsia" w:ascii="宋体" w:hAnsi="宋体"/>
                <w:b w:val="0"/>
                <w:bCs w:val="0"/>
                <w:sz w:val="24"/>
                <w:lang w:val="en-US" w:eastAsia="zh-CN"/>
              </w:rPr>
              <w:t>：</w:t>
            </w:r>
            <w:r>
              <w:rPr>
                <w:rFonts w:hint="eastAsia"/>
                <w:b w:val="0"/>
                <w:bCs w:val="0"/>
                <w:color w:val="000000" w:themeColor="text1"/>
                <w:sz w:val="22"/>
                <w:szCs w:val="22"/>
                <w:lang w:val="en-US" w:eastAsia="zh-CN"/>
                <w14:textFill>
                  <w14:solidFill>
                    <w14:schemeClr w14:val="tx1"/>
                  </w14:solidFill>
                </w14:textFill>
              </w:rPr>
              <w:t>位于</w:t>
            </w:r>
            <w:r>
              <w:rPr>
                <w:rFonts w:hint="eastAsia"/>
                <w:b w:val="0"/>
                <w:bCs w:val="0"/>
                <w:color w:val="000000" w:themeColor="text1"/>
                <w:sz w:val="22"/>
                <w:szCs w:val="22"/>
                <w14:textFill>
                  <w14:solidFill>
                    <w14:schemeClr w14:val="tx1"/>
                  </w14:solidFill>
                </w14:textFill>
              </w:rPr>
              <w:t>浙江省杭州市余杭区良渚街道新港村杭州苕顺农副产品有限公司</w:t>
            </w:r>
            <w:r>
              <w:rPr>
                <w:rFonts w:hint="eastAsia"/>
                <w:b w:val="0"/>
                <w:bCs w:val="0"/>
                <w:color w:val="000000" w:themeColor="text1"/>
                <w:sz w:val="22"/>
                <w:szCs w:val="22"/>
                <w:lang w:val="en-US" w:eastAsia="zh-CN"/>
                <w14:textFill>
                  <w14:solidFill>
                    <w14:schemeClr w14:val="tx1"/>
                  </w14:solidFill>
                </w14:textFill>
              </w:rPr>
              <w:t>分拣区的</w:t>
            </w:r>
            <w:r>
              <w:rPr>
                <w:rFonts w:hint="eastAsia"/>
                <w:b w:val="0"/>
                <w:bCs w:val="0"/>
                <w:color w:val="000000" w:themeColor="text1"/>
                <w:sz w:val="22"/>
                <w:szCs w:val="22"/>
                <w14:textFill>
                  <w14:solidFill>
                    <w14:schemeClr w14:val="tx1"/>
                  </w14:solidFill>
                </w14:textFill>
              </w:rPr>
              <w:t>冷冻水产</w:t>
            </w:r>
            <w:r>
              <w:rPr>
                <w:rFonts w:hint="eastAsia"/>
                <w:b w:val="0"/>
                <w:bCs w:val="0"/>
                <w:color w:val="000000" w:themeColor="text1"/>
                <w:sz w:val="22"/>
                <w:szCs w:val="22"/>
                <w:lang w:val="en-US" w:eastAsia="zh-CN"/>
                <w14:textFill>
                  <w14:solidFill>
                    <w14:schemeClr w14:val="tx1"/>
                  </w14:solidFill>
                </w14:textFill>
              </w:rPr>
              <w:t>品</w:t>
            </w:r>
            <w:r>
              <w:rPr>
                <w:rFonts w:hint="eastAsia"/>
                <w:b w:val="0"/>
                <w:bCs w:val="0"/>
                <w:color w:val="000000" w:themeColor="text1"/>
                <w:sz w:val="22"/>
                <w:szCs w:val="22"/>
                <w14:textFill>
                  <w14:solidFill>
                    <w14:schemeClr w14:val="tx1"/>
                  </w14:solidFill>
                </w14:textFill>
              </w:rPr>
              <w:t>和鲜活水产</w:t>
            </w:r>
            <w:r>
              <w:rPr>
                <w:rFonts w:hint="eastAsia"/>
                <w:b w:val="0"/>
                <w:bCs w:val="0"/>
                <w:color w:val="000000" w:themeColor="text1"/>
                <w:sz w:val="22"/>
                <w:szCs w:val="22"/>
                <w:lang w:val="en-US" w:eastAsia="zh-CN"/>
                <w14:textFill>
                  <w14:solidFill>
                    <w14:schemeClr w14:val="tx1"/>
                  </w14:solidFill>
                </w14:textFill>
              </w:rPr>
              <w:t>品</w:t>
            </w:r>
            <w:r>
              <w:rPr>
                <w:rFonts w:hint="eastAsia"/>
                <w:b w:val="0"/>
                <w:bCs w:val="0"/>
                <w:color w:val="000000" w:themeColor="text1"/>
                <w:sz w:val="22"/>
                <w:szCs w:val="22"/>
                <w14:textFill>
                  <w14:solidFill>
                    <w14:schemeClr w14:val="tx1"/>
                  </w14:solidFill>
                </w14:textFill>
              </w:rPr>
              <w:t>的销售</w:t>
            </w:r>
            <w:r>
              <w:rPr>
                <w:rFonts w:hint="eastAsia"/>
                <w:b w:val="0"/>
                <w:bCs w:val="0"/>
                <w:color w:val="000000" w:themeColor="text1"/>
                <w:sz w:val="22"/>
                <w:szCs w:val="22"/>
                <w:lang w:eastAsia="zh-CN"/>
                <w14:textFill>
                  <w14:solidFill>
                    <w14:schemeClr w14:val="tx1"/>
                  </w14:solidFill>
                </w14:textFill>
              </w:rPr>
              <w:t>（</w:t>
            </w:r>
            <w:r>
              <w:rPr>
                <w:rFonts w:hint="eastAsia"/>
                <w:b w:val="0"/>
                <w:bCs w:val="0"/>
                <w:color w:val="000000" w:themeColor="text1"/>
                <w:sz w:val="22"/>
                <w:szCs w:val="22"/>
                <w:lang w:val="en-US" w:eastAsia="zh-CN"/>
                <w14:textFill>
                  <w14:solidFill>
                    <w14:schemeClr w14:val="tx1"/>
                  </w14:solidFill>
                </w14:textFill>
              </w:rPr>
              <w:t>运输和贮藏</w:t>
            </w:r>
            <w:r>
              <w:rPr>
                <w:rFonts w:hint="eastAsia"/>
                <w:b w:val="0"/>
                <w:bCs w:val="0"/>
                <w:color w:val="000000" w:themeColor="text1"/>
                <w:sz w:val="22"/>
                <w:szCs w:val="22"/>
                <w:lang w:eastAsia="zh-CN"/>
                <w14:textFill>
                  <w14:solidFill>
                    <w14:schemeClr w14:val="tx1"/>
                  </w14:solidFill>
                </w14:textFill>
              </w:rPr>
              <w:t>）</w:t>
            </w:r>
          </w:p>
          <w:p>
            <w:pPr>
              <w:pStyle w:val="6"/>
              <w:ind w:left="0"/>
              <w:rPr>
                <w:rFonts w:hint="eastAsia"/>
              </w:rPr>
            </w:pPr>
          </w:p>
          <w:p>
            <w:pPr>
              <w:pStyle w:val="6"/>
              <w:ind w:left="0"/>
            </w:pPr>
            <w:r>
              <w:rPr>
                <w:rFonts w:hint="eastAsia"/>
              </w:rPr>
              <w:t>具体见变更单。</w:t>
            </w:r>
          </w:p>
          <w:p>
            <w:pPr>
              <w:spacing w:line="360" w:lineRule="auto"/>
              <w:ind w:firstLine="315" w:firstLineChars="150"/>
              <w:jc w:val="left"/>
              <w:rPr>
                <w:rFonts w:hint="eastAsia" w:ascii="宋体" w:hAnsi="宋体" w:eastAsia="宋体" w:cs="宋体"/>
                <w:szCs w:val="21"/>
                <w:lang w:val="en-US" w:eastAsia="zh-CN"/>
              </w:rPr>
            </w:pPr>
            <w:r>
              <w:rPr>
                <w:rFonts w:hint="eastAsia" w:ascii="宋体" w:hAnsi="宋体" w:cs="宋体"/>
                <w:szCs w:val="21"/>
              </w:rPr>
              <w:t>现场确认营业执照无变化</w:t>
            </w:r>
            <w:r>
              <w:rPr>
                <w:rFonts w:hint="eastAsia" w:ascii="宋体" w:hAnsi="宋体" w:cs="宋体"/>
                <w:szCs w:val="21"/>
                <w:lang w:eastAsia="zh-CN"/>
              </w:rPr>
              <w:t>，</w:t>
            </w:r>
            <w:r>
              <w:rPr>
                <w:rFonts w:hint="eastAsia" w:ascii="宋体" w:hAnsi="宋体" w:cs="宋体"/>
                <w:szCs w:val="21"/>
              </w:rPr>
              <w:t>经营许可证</w:t>
            </w:r>
            <w:r>
              <w:rPr>
                <w:rFonts w:hint="eastAsia" w:ascii="宋体" w:hAnsi="宋体" w:cs="宋体"/>
                <w:szCs w:val="21"/>
                <w:lang w:val="en-US" w:eastAsia="zh-CN"/>
              </w:rPr>
              <w:t>换新证。</w:t>
            </w:r>
          </w:p>
          <w:p>
            <w:pPr>
              <w:spacing w:line="360" w:lineRule="auto"/>
              <w:ind w:firstLine="315" w:firstLineChars="150"/>
              <w:jc w:val="left"/>
              <w:rPr>
                <w:rFonts w:ascii="宋体" w:hAnsi="宋体" w:cs="宋体"/>
                <w:szCs w:val="21"/>
              </w:rPr>
            </w:pPr>
            <w:r>
              <w:rPr>
                <w:rFonts w:hint="eastAsia" w:ascii="宋体" w:hAnsi="宋体" w:cs="宋体"/>
                <w:szCs w:val="21"/>
              </w:rPr>
              <w:t>从2020年6月至今，公司没有顾客的重大产品质量和食品安全投诉。</w:t>
            </w:r>
          </w:p>
          <w:p>
            <w:pPr>
              <w:spacing w:line="360" w:lineRule="auto"/>
              <w:ind w:firstLine="315" w:firstLineChars="150"/>
              <w:jc w:val="left"/>
              <w:rPr>
                <w:rFonts w:ascii="宋体" w:hAnsi="宋体" w:cs="宋体"/>
                <w:szCs w:val="21"/>
              </w:rPr>
            </w:pPr>
            <w:r>
              <w:rPr>
                <w:rFonts w:hint="eastAsia" w:ascii="宋体" w:hAnsi="宋体" w:cs="宋体"/>
                <w:szCs w:val="21"/>
              </w:rPr>
              <w:t>现场查见认证证书、标志的使用无违规使用情况，体系变动情况：体系文件更新，见收集材料E文件。</w:t>
            </w:r>
          </w:p>
          <w:p>
            <w:pPr>
              <w:ind w:firstLine="420" w:firstLineChars="200"/>
            </w:pPr>
            <w:r>
              <w:rPr>
                <w:rFonts w:hint="eastAsia" w:ascii="宋体" w:hAnsi="宋体" w:cs="宋体"/>
                <w:szCs w:val="21"/>
              </w:rPr>
              <w:t>上次审核不符合项2项，发生在办公室、分拣部，涉及条款ISO22000:2005 7.2.3/7.6.4,经本次审核验证，未出现类似的不符合情况。</w:t>
            </w:r>
          </w:p>
        </w:tc>
        <w:tc>
          <w:tcPr>
            <w:tcW w:w="1591" w:type="dxa"/>
          </w:tcPr>
          <w:p>
            <w:r>
              <w:rPr>
                <w:rFonts w:hint="eastAsia"/>
              </w:rPr>
              <w:t>/</w:t>
            </w:r>
          </w:p>
        </w:tc>
      </w:tr>
    </w:tbl>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宋体-PUA">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IDFont+F5">
    <w:altName w:val="宋体"/>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7FB10"/>
    <w:multiLevelType w:val="singleLevel"/>
    <w:tmpl w:val="81B7FB10"/>
    <w:lvl w:ilvl="0" w:tentative="0">
      <w:start w:val="1"/>
      <w:numFmt w:val="decimal"/>
      <w:suff w:val="space"/>
      <w:lvlText w:val="%1."/>
      <w:lvlJc w:val="left"/>
    </w:lvl>
  </w:abstractNum>
  <w:abstractNum w:abstractNumId="1">
    <w:nsid w:val="8DEE853B"/>
    <w:multiLevelType w:val="singleLevel"/>
    <w:tmpl w:val="8DEE853B"/>
    <w:lvl w:ilvl="0" w:tentative="0">
      <w:start w:val="1"/>
      <w:numFmt w:val="decimal"/>
      <w:suff w:val="space"/>
      <w:lvlText w:val="%1."/>
      <w:lvlJc w:val="left"/>
    </w:lvl>
  </w:abstractNum>
  <w:abstractNum w:abstractNumId="2">
    <w:nsid w:val="D9157FF7"/>
    <w:multiLevelType w:val="singleLevel"/>
    <w:tmpl w:val="D9157FF7"/>
    <w:lvl w:ilvl="0" w:tentative="0">
      <w:start w:val="1"/>
      <w:numFmt w:val="lowerLetter"/>
      <w:suff w:val="space"/>
      <w:lvlText w:val="%1)"/>
      <w:lvlJc w:val="left"/>
    </w:lvl>
  </w:abstractNum>
  <w:abstractNum w:abstractNumId="3">
    <w:nsid w:val="19E194F9"/>
    <w:multiLevelType w:val="singleLevel"/>
    <w:tmpl w:val="19E194F9"/>
    <w:lvl w:ilvl="0" w:tentative="0">
      <w:start w:val="1"/>
      <w:numFmt w:val="lowerLetter"/>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377F"/>
    <w:rsid w:val="000237F6"/>
    <w:rsid w:val="0003373A"/>
    <w:rsid w:val="000400E2"/>
    <w:rsid w:val="000429FF"/>
    <w:rsid w:val="00053043"/>
    <w:rsid w:val="00062E46"/>
    <w:rsid w:val="00077C57"/>
    <w:rsid w:val="000E6B21"/>
    <w:rsid w:val="000E7D69"/>
    <w:rsid w:val="001037D1"/>
    <w:rsid w:val="00111EBB"/>
    <w:rsid w:val="001140D6"/>
    <w:rsid w:val="00126B2A"/>
    <w:rsid w:val="001301E2"/>
    <w:rsid w:val="001A2D7F"/>
    <w:rsid w:val="001A336D"/>
    <w:rsid w:val="001F1502"/>
    <w:rsid w:val="00203518"/>
    <w:rsid w:val="0023692C"/>
    <w:rsid w:val="002805E0"/>
    <w:rsid w:val="002822F1"/>
    <w:rsid w:val="002939AD"/>
    <w:rsid w:val="002A7D96"/>
    <w:rsid w:val="002E061E"/>
    <w:rsid w:val="002E5925"/>
    <w:rsid w:val="00304BD2"/>
    <w:rsid w:val="00314AF6"/>
    <w:rsid w:val="003263CD"/>
    <w:rsid w:val="00332DD3"/>
    <w:rsid w:val="00334BC0"/>
    <w:rsid w:val="003359ED"/>
    <w:rsid w:val="00337922"/>
    <w:rsid w:val="00340867"/>
    <w:rsid w:val="00380837"/>
    <w:rsid w:val="003A198A"/>
    <w:rsid w:val="00410914"/>
    <w:rsid w:val="004128BF"/>
    <w:rsid w:val="0042042C"/>
    <w:rsid w:val="00454842"/>
    <w:rsid w:val="00477A20"/>
    <w:rsid w:val="0048201E"/>
    <w:rsid w:val="0048635A"/>
    <w:rsid w:val="0049215F"/>
    <w:rsid w:val="004B0F32"/>
    <w:rsid w:val="004B2B8D"/>
    <w:rsid w:val="004D161C"/>
    <w:rsid w:val="004E753A"/>
    <w:rsid w:val="005203B8"/>
    <w:rsid w:val="00531A59"/>
    <w:rsid w:val="00536930"/>
    <w:rsid w:val="00542263"/>
    <w:rsid w:val="00564E53"/>
    <w:rsid w:val="00571451"/>
    <w:rsid w:val="00593F84"/>
    <w:rsid w:val="005B7968"/>
    <w:rsid w:val="005C6B53"/>
    <w:rsid w:val="005D5659"/>
    <w:rsid w:val="005E2DC1"/>
    <w:rsid w:val="005F0777"/>
    <w:rsid w:val="00600C20"/>
    <w:rsid w:val="00644FE2"/>
    <w:rsid w:val="00651ED1"/>
    <w:rsid w:val="00660E47"/>
    <w:rsid w:val="00663F71"/>
    <w:rsid w:val="0067640C"/>
    <w:rsid w:val="00691D92"/>
    <w:rsid w:val="006D7C48"/>
    <w:rsid w:val="006E678B"/>
    <w:rsid w:val="006E7B1D"/>
    <w:rsid w:val="0070341D"/>
    <w:rsid w:val="00705D46"/>
    <w:rsid w:val="00714E0C"/>
    <w:rsid w:val="007757F3"/>
    <w:rsid w:val="00782A29"/>
    <w:rsid w:val="007860F5"/>
    <w:rsid w:val="007C1B48"/>
    <w:rsid w:val="007E3B15"/>
    <w:rsid w:val="007E6AEB"/>
    <w:rsid w:val="008630EE"/>
    <w:rsid w:val="008973EE"/>
    <w:rsid w:val="008C05BC"/>
    <w:rsid w:val="008C60FD"/>
    <w:rsid w:val="008E670C"/>
    <w:rsid w:val="0090032F"/>
    <w:rsid w:val="00910EB7"/>
    <w:rsid w:val="00920906"/>
    <w:rsid w:val="00922D2F"/>
    <w:rsid w:val="00923731"/>
    <w:rsid w:val="009315A7"/>
    <w:rsid w:val="009344FA"/>
    <w:rsid w:val="009637A6"/>
    <w:rsid w:val="00971600"/>
    <w:rsid w:val="009734AB"/>
    <w:rsid w:val="0097671F"/>
    <w:rsid w:val="009973B4"/>
    <w:rsid w:val="009C28C1"/>
    <w:rsid w:val="009D0D15"/>
    <w:rsid w:val="009E7642"/>
    <w:rsid w:val="009F7EED"/>
    <w:rsid w:val="00A01D85"/>
    <w:rsid w:val="00A109EE"/>
    <w:rsid w:val="00A23E2B"/>
    <w:rsid w:val="00A353D5"/>
    <w:rsid w:val="00A74916"/>
    <w:rsid w:val="00A80636"/>
    <w:rsid w:val="00A80E58"/>
    <w:rsid w:val="00AA4BB0"/>
    <w:rsid w:val="00AB1C1D"/>
    <w:rsid w:val="00AC2E27"/>
    <w:rsid w:val="00AC589C"/>
    <w:rsid w:val="00AF0AAB"/>
    <w:rsid w:val="00B50FD7"/>
    <w:rsid w:val="00B646E3"/>
    <w:rsid w:val="00B64A32"/>
    <w:rsid w:val="00B801A2"/>
    <w:rsid w:val="00B82D4A"/>
    <w:rsid w:val="00B93797"/>
    <w:rsid w:val="00BA5DC8"/>
    <w:rsid w:val="00BB07DF"/>
    <w:rsid w:val="00BB34A7"/>
    <w:rsid w:val="00BE5F33"/>
    <w:rsid w:val="00BF597E"/>
    <w:rsid w:val="00C03A49"/>
    <w:rsid w:val="00C37C31"/>
    <w:rsid w:val="00C51A36"/>
    <w:rsid w:val="00C55228"/>
    <w:rsid w:val="00C5533A"/>
    <w:rsid w:val="00C63768"/>
    <w:rsid w:val="00C65F2B"/>
    <w:rsid w:val="00C96ED9"/>
    <w:rsid w:val="00CD71D8"/>
    <w:rsid w:val="00CE2E76"/>
    <w:rsid w:val="00CE315A"/>
    <w:rsid w:val="00CF1517"/>
    <w:rsid w:val="00D06F59"/>
    <w:rsid w:val="00D708B1"/>
    <w:rsid w:val="00D71355"/>
    <w:rsid w:val="00D75176"/>
    <w:rsid w:val="00D8388C"/>
    <w:rsid w:val="00DC055B"/>
    <w:rsid w:val="00DD3530"/>
    <w:rsid w:val="00DE720A"/>
    <w:rsid w:val="00E120F4"/>
    <w:rsid w:val="00E16C53"/>
    <w:rsid w:val="00E25E5F"/>
    <w:rsid w:val="00E6224C"/>
    <w:rsid w:val="00E65C8F"/>
    <w:rsid w:val="00EB0164"/>
    <w:rsid w:val="00EB2D1A"/>
    <w:rsid w:val="00EC0F38"/>
    <w:rsid w:val="00EC57BB"/>
    <w:rsid w:val="00EC66B3"/>
    <w:rsid w:val="00ED0F62"/>
    <w:rsid w:val="00EE7FEC"/>
    <w:rsid w:val="00F2198C"/>
    <w:rsid w:val="00F43A54"/>
    <w:rsid w:val="00F441AF"/>
    <w:rsid w:val="00F56D22"/>
    <w:rsid w:val="00F7499A"/>
    <w:rsid w:val="00F95ED9"/>
    <w:rsid w:val="00FA44E7"/>
    <w:rsid w:val="00FD0A8E"/>
    <w:rsid w:val="00FF6820"/>
    <w:rsid w:val="01260C71"/>
    <w:rsid w:val="01E27364"/>
    <w:rsid w:val="02C75A20"/>
    <w:rsid w:val="032F5195"/>
    <w:rsid w:val="03A0688A"/>
    <w:rsid w:val="03A32F8E"/>
    <w:rsid w:val="03AC3D8E"/>
    <w:rsid w:val="03CE483E"/>
    <w:rsid w:val="03CF54E8"/>
    <w:rsid w:val="0405614C"/>
    <w:rsid w:val="04093847"/>
    <w:rsid w:val="04883DB3"/>
    <w:rsid w:val="049166B1"/>
    <w:rsid w:val="04981EC9"/>
    <w:rsid w:val="050D3D1E"/>
    <w:rsid w:val="056577F0"/>
    <w:rsid w:val="05705C5F"/>
    <w:rsid w:val="057753FF"/>
    <w:rsid w:val="05A05014"/>
    <w:rsid w:val="05F6270F"/>
    <w:rsid w:val="05FE5D86"/>
    <w:rsid w:val="0605101B"/>
    <w:rsid w:val="061B4460"/>
    <w:rsid w:val="065A01DF"/>
    <w:rsid w:val="067B702D"/>
    <w:rsid w:val="06994A8D"/>
    <w:rsid w:val="06AA7E97"/>
    <w:rsid w:val="06ED612A"/>
    <w:rsid w:val="08274F37"/>
    <w:rsid w:val="08767210"/>
    <w:rsid w:val="08851DD7"/>
    <w:rsid w:val="08C22483"/>
    <w:rsid w:val="08ED1EE8"/>
    <w:rsid w:val="09005957"/>
    <w:rsid w:val="096333C5"/>
    <w:rsid w:val="09933EF9"/>
    <w:rsid w:val="09AA0CA5"/>
    <w:rsid w:val="09FA6045"/>
    <w:rsid w:val="0A0F142E"/>
    <w:rsid w:val="0A1C56C1"/>
    <w:rsid w:val="0A904067"/>
    <w:rsid w:val="0ACA6ED2"/>
    <w:rsid w:val="0AEF4D8D"/>
    <w:rsid w:val="0BE64DFF"/>
    <w:rsid w:val="0C5423F7"/>
    <w:rsid w:val="0C8009B8"/>
    <w:rsid w:val="0CC102DA"/>
    <w:rsid w:val="0CFF24BA"/>
    <w:rsid w:val="0D181113"/>
    <w:rsid w:val="0D1E4D9B"/>
    <w:rsid w:val="0D4D1326"/>
    <w:rsid w:val="0D595709"/>
    <w:rsid w:val="0D6A2C36"/>
    <w:rsid w:val="0DB35CC0"/>
    <w:rsid w:val="0E49595F"/>
    <w:rsid w:val="0EB8524B"/>
    <w:rsid w:val="0F86648B"/>
    <w:rsid w:val="0F9C35C1"/>
    <w:rsid w:val="0FEB1156"/>
    <w:rsid w:val="0FFA42BF"/>
    <w:rsid w:val="100B6D7F"/>
    <w:rsid w:val="100D075A"/>
    <w:rsid w:val="106A3497"/>
    <w:rsid w:val="108219C2"/>
    <w:rsid w:val="10991918"/>
    <w:rsid w:val="10A120FB"/>
    <w:rsid w:val="10AB5B5F"/>
    <w:rsid w:val="10C112A0"/>
    <w:rsid w:val="10C11C69"/>
    <w:rsid w:val="10DD2E35"/>
    <w:rsid w:val="114C16D4"/>
    <w:rsid w:val="11536201"/>
    <w:rsid w:val="115D3DB9"/>
    <w:rsid w:val="11BD2BE2"/>
    <w:rsid w:val="11BE2038"/>
    <w:rsid w:val="11DC0AC4"/>
    <w:rsid w:val="11E2439D"/>
    <w:rsid w:val="12563B2D"/>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5C64A64"/>
    <w:rsid w:val="15F7492E"/>
    <w:rsid w:val="16210B83"/>
    <w:rsid w:val="16583F2B"/>
    <w:rsid w:val="169D3E09"/>
    <w:rsid w:val="16AB3CAD"/>
    <w:rsid w:val="16E341B9"/>
    <w:rsid w:val="16F10A78"/>
    <w:rsid w:val="17226BDD"/>
    <w:rsid w:val="17446813"/>
    <w:rsid w:val="177551EA"/>
    <w:rsid w:val="179B1D36"/>
    <w:rsid w:val="17AA51C2"/>
    <w:rsid w:val="17C079EC"/>
    <w:rsid w:val="17F76BA3"/>
    <w:rsid w:val="182A66F0"/>
    <w:rsid w:val="186A6524"/>
    <w:rsid w:val="186F767B"/>
    <w:rsid w:val="187F0353"/>
    <w:rsid w:val="188852B3"/>
    <w:rsid w:val="1899236C"/>
    <w:rsid w:val="18E725C6"/>
    <w:rsid w:val="18FB3FC3"/>
    <w:rsid w:val="19444428"/>
    <w:rsid w:val="19553BF7"/>
    <w:rsid w:val="197008AF"/>
    <w:rsid w:val="19746F33"/>
    <w:rsid w:val="197E61C1"/>
    <w:rsid w:val="199565C0"/>
    <w:rsid w:val="19D74BC7"/>
    <w:rsid w:val="19FD49DB"/>
    <w:rsid w:val="1A041A8F"/>
    <w:rsid w:val="1A546A4C"/>
    <w:rsid w:val="1A6C3FF9"/>
    <w:rsid w:val="1AAD5413"/>
    <w:rsid w:val="1AAF33A8"/>
    <w:rsid w:val="1AB42370"/>
    <w:rsid w:val="1ACD09C2"/>
    <w:rsid w:val="1ACF1254"/>
    <w:rsid w:val="1AED5B63"/>
    <w:rsid w:val="1B462375"/>
    <w:rsid w:val="1B5E3B97"/>
    <w:rsid w:val="1C392A3A"/>
    <w:rsid w:val="1C6465C0"/>
    <w:rsid w:val="1CB1322F"/>
    <w:rsid w:val="1D0723A1"/>
    <w:rsid w:val="1D3F332D"/>
    <w:rsid w:val="1D4D4A00"/>
    <w:rsid w:val="1DC4038A"/>
    <w:rsid w:val="1DF36090"/>
    <w:rsid w:val="1DFE25B1"/>
    <w:rsid w:val="1E511FFA"/>
    <w:rsid w:val="1E752FA2"/>
    <w:rsid w:val="1E993682"/>
    <w:rsid w:val="1EF74D41"/>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1172"/>
    <w:rsid w:val="258041F6"/>
    <w:rsid w:val="258609CC"/>
    <w:rsid w:val="25B02BA9"/>
    <w:rsid w:val="261B55F8"/>
    <w:rsid w:val="261D5675"/>
    <w:rsid w:val="269C7CAD"/>
    <w:rsid w:val="271B4DE1"/>
    <w:rsid w:val="272228DE"/>
    <w:rsid w:val="27443F4D"/>
    <w:rsid w:val="274B78E8"/>
    <w:rsid w:val="27602485"/>
    <w:rsid w:val="27B20706"/>
    <w:rsid w:val="27CF15FE"/>
    <w:rsid w:val="27D42EE9"/>
    <w:rsid w:val="27E10A81"/>
    <w:rsid w:val="27FE6486"/>
    <w:rsid w:val="280B3F2E"/>
    <w:rsid w:val="28341F0D"/>
    <w:rsid w:val="28522897"/>
    <w:rsid w:val="2892323E"/>
    <w:rsid w:val="289361DE"/>
    <w:rsid w:val="291C5E47"/>
    <w:rsid w:val="296D2D47"/>
    <w:rsid w:val="29CB46C2"/>
    <w:rsid w:val="29F77BA5"/>
    <w:rsid w:val="2A3A6E77"/>
    <w:rsid w:val="2A85024C"/>
    <w:rsid w:val="2B0D2F04"/>
    <w:rsid w:val="2B1D2572"/>
    <w:rsid w:val="2B206A2D"/>
    <w:rsid w:val="2B4C1179"/>
    <w:rsid w:val="2BAC5760"/>
    <w:rsid w:val="2BD60481"/>
    <w:rsid w:val="2BEA3FA7"/>
    <w:rsid w:val="2C2E44D4"/>
    <w:rsid w:val="2C7B6C71"/>
    <w:rsid w:val="2D357F0D"/>
    <w:rsid w:val="2D4E604F"/>
    <w:rsid w:val="2D5C2AB0"/>
    <w:rsid w:val="2D7A20E6"/>
    <w:rsid w:val="2DC57805"/>
    <w:rsid w:val="2DC801AD"/>
    <w:rsid w:val="2DDF08DF"/>
    <w:rsid w:val="2DFF79D8"/>
    <w:rsid w:val="2E367C56"/>
    <w:rsid w:val="2E440885"/>
    <w:rsid w:val="2EEE512C"/>
    <w:rsid w:val="2F0040E5"/>
    <w:rsid w:val="2F511B05"/>
    <w:rsid w:val="2F7C571D"/>
    <w:rsid w:val="2FA86B66"/>
    <w:rsid w:val="2FD11B20"/>
    <w:rsid w:val="2FE823A5"/>
    <w:rsid w:val="2FEA1C57"/>
    <w:rsid w:val="300172B8"/>
    <w:rsid w:val="3009556D"/>
    <w:rsid w:val="30945277"/>
    <w:rsid w:val="30C71DD4"/>
    <w:rsid w:val="30DC7CB1"/>
    <w:rsid w:val="30ED30CC"/>
    <w:rsid w:val="31064141"/>
    <w:rsid w:val="31B477DB"/>
    <w:rsid w:val="31B67BE2"/>
    <w:rsid w:val="31CA71DD"/>
    <w:rsid w:val="324E5138"/>
    <w:rsid w:val="325251B2"/>
    <w:rsid w:val="32A772DD"/>
    <w:rsid w:val="331E21CE"/>
    <w:rsid w:val="33562A0D"/>
    <w:rsid w:val="33715F28"/>
    <w:rsid w:val="33F07155"/>
    <w:rsid w:val="340C6245"/>
    <w:rsid w:val="343C4522"/>
    <w:rsid w:val="347A0336"/>
    <w:rsid w:val="34F92D63"/>
    <w:rsid w:val="35527F1F"/>
    <w:rsid w:val="357914C0"/>
    <w:rsid w:val="35977CFC"/>
    <w:rsid w:val="35D721CD"/>
    <w:rsid w:val="36174333"/>
    <w:rsid w:val="364A3F09"/>
    <w:rsid w:val="366E2A0B"/>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A475E5"/>
    <w:rsid w:val="3CA717F2"/>
    <w:rsid w:val="3CC56579"/>
    <w:rsid w:val="3DA22D61"/>
    <w:rsid w:val="3DAB460B"/>
    <w:rsid w:val="3DDA7DB2"/>
    <w:rsid w:val="3DF2719F"/>
    <w:rsid w:val="3E342793"/>
    <w:rsid w:val="3E3C5235"/>
    <w:rsid w:val="3EA34B57"/>
    <w:rsid w:val="3EEF1E6E"/>
    <w:rsid w:val="3F654598"/>
    <w:rsid w:val="3F701801"/>
    <w:rsid w:val="40075616"/>
    <w:rsid w:val="40571F31"/>
    <w:rsid w:val="40760623"/>
    <w:rsid w:val="408B7234"/>
    <w:rsid w:val="40D76508"/>
    <w:rsid w:val="40E27AF7"/>
    <w:rsid w:val="40F80D82"/>
    <w:rsid w:val="41342A6B"/>
    <w:rsid w:val="414C7183"/>
    <w:rsid w:val="418D501C"/>
    <w:rsid w:val="41E9167B"/>
    <w:rsid w:val="42271497"/>
    <w:rsid w:val="42416B50"/>
    <w:rsid w:val="4262379E"/>
    <w:rsid w:val="427A1188"/>
    <w:rsid w:val="432A5E11"/>
    <w:rsid w:val="433B1167"/>
    <w:rsid w:val="435F500F"/>
    <w:rsid w:val="43C730CD"/>
    <w:rsid w:val="44A567F5"/>
    <w:rsid w:val="453B1EBC"/>
    <w:rsid w:val="45413E1D"/>
    <w:rsid w:val="45635AEC"/>
    <w:rsid w:val="45BA54FA"/>
    <w:rsid w:val="45EC74A5"/>
    <w:rsid w:val="45FA6B69"/>
    <w:rsid w:val="460414DD"/>
    <w:rsid w:val="46332B60"/>
    <w:rsid w:val="4654705C"/>
    <w:rsid w:val="468D2C1F"/>
    <w:rsid w:val="468D3CA5"/>
    <w:rsid w:val="46930E28"/>
    <w:rsid w:val="46D04304"/>
    <w:rsid w:val="46EA7997"/>
    <w:rsid w:val="470243E7"/>
    <w:rsid w:val="471F1498"/>
    <w:rsid w:val="47271944"/>
    <w:rsid w:val="475C4BFE"/>
    <w:rsid w:val="47BB044C"/>
    <w:rsid w:val="48262DE5"/>
    <w:rsid w:val="48397913"/>
    <w:rsid w:val="4949229C"/>
    <w:rsid w:val="49834851"/>
    <w:rsid w:val="49C0281D"/>
    <w:rsid w:val="49E449BF"/>
    <w:rsid w:val="49EC77B8"/>
    <w:rsid w:val="49ED5B1C"/>
    <w:rsid w:val="4AD45EF1"/>
    <w:rsid w:val="4ADD13CB"/>
    <w:rsid w:val="4AE04A18"/>
    <w:rsid w:val="4B337454"/>
    <w:rsid w:val="4B407CC6"/>
    <w:rsid w:val="4B42232B"/>
    <w:rsid w:val="4B464DA1"/>
    <w:rsid w:val="4B825A76"/>
    <w:rsid w:val="4B8B3702"/>
    <w:rsid w:val="4B9B0D7E"/>
    <w:rsid w:val="4BC83B65"/>
    <w:rsid w:val="4C1A1162"/>
    <w:rsid w:val="4C85389F"/>
    <w:rsid w:val="4CA74E41"/>
    <w:rsid w:val="4CA91B51"/>
    <w:rsid w:val="4CB62537"/>
    <w:rsid w:val="4CD2365B"/>
    <w:rsid w:val="4D352804"/>
    <w:rsid w:val="4D3D578E"/>
    <w:rsid w:val="4D636299"/>
    <w:rsid w:val="4D791805"/>
    <w:rsid w:val="4D8F2F88"/>
    <w:rsid w:val="4DB86BCB"/>
    <w:rsid w:val="4DD85058"/>
    <w:rsid w:val="4E0166A9"/>
    <w:rsid w:val="4E1551DB"/>
    <w:rsid w:val="4E7774D0"/>
    <w:rsid w:val="4F256EAD"/>
    <w:rsid w:val="4F594843"/>
    <w:rsid w:val="503C3BCC"/>
    <w:rsid w:val="505C4971"/>
    <w:rsid w:val="50C41CF1"/>
    <w:rsid w:val="51217DA6"/>
    <w:rsid w:val="51294703"/>
    <w:rsid w:val="51425A27"/>
    <w:rsid w:val="5158757E"/>
    <w:rsid w:val="521A5D1E"/>
    <w:rsid w:val="523624DE"/>
    <w:rsid w:val="52A23F56"/>
    <w:rsid w:val="52BA5471"/>
    <w:rsid w:val="52D871F4"/>
    <w:rsid w:val="52DF3F44"/>
    <w:rsid w:val="52F263D6"/>
    <w:rsid w:val="53024EB7"/>
    <w:rsid w:val="53261795"/>
    <w:rsid w:val="53953BE7"/>
    <w:rsid w:val="53E93AEB"/>
    <w:rsid w:val="53F51637"/>
    <w:rsid w:val="54124FEF"/>
    <w:rsid w:val="541C4B67"/>
    <w:rsid w:val="54BF0B64"/>
    <w:rsid w:val="552A2893"/>
    <w:rsid w:val="556B045B"/>
    <w:rsid w:val="557D4E77"/>
    <w:rsid w:val="55C375DD"/>
    <w:rsid w:val="56156439"/>
    <w:rsid w:val="56643532"/>
    <w:rsid w:val="568B5A7B"/>
    <w:rsid w:val="56EF4D06"/>
    <w:rsid w:val="570A6E63"/>
    <w:rsid w:val="573B0118"/>
    <w:rsid w:val="573D2268"/>
    <w:rsid w:val="57411925"/>
    <w:rsid w:val="57441E32"/>
    <w:rsid w:val="57466C60"/>
    <w:rsid w:val="57535542"/>
    <w:rsid w:val="575B3098"/>
    <w:rsid w:val="577F2D1A"/>
    <w:rsid w:val="57F55B90"/>
    <w:rsid w:val="580F191D"/>
    <w:rsid w:val="58276F84"/>
    <w:rsid w:val="58584813"/>
    <w:rsid w:val="585F7E83"/>
    <w:rsid w:val="58B728A2"/>
    <w:rsid w:val="58B868EB"/>
    <w:rsid w:val="590D059A"/>
    <w:rsid w:val="592802C2"/>
    <w:rsid w:val="5978735A"/>
    <w:rsid w:val="59A13904"/>
    <w:rsid w:val="59D37462"/>
    <w:rsid w:val="59E42114"/>
    <w:rsid w:val="59E710C8"/>
    <w:rsid w:val="59F34F80"/>
    <w:rsid w:val="5A1C59A1"/>
    <w:rsid w:val="5A386EB4"/>
    <w:rsid w:val="5A407674"/>
    <w:rsid w:val="5A432974"/>
    <w:rsid w:val="5A6A20C5"/>
    <w:rsid w:val="5AD64AF2"/>
    <w:rsid w:val="5AF23288"/>
    <w:rsid w:val="5B544EB3"/>
    <w:rsid w:val="5B6A33DD"/>
    <w:rsid w:val="5BBF36FA"/>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0754B6"/>
    <w:rsid w:val="6018182B"/>
    <w:rsid w:val="601E0F43"/>
    <w:rsid w:val="60596F8D"/>
    <w:rsid w:val="608075E1"/>
    <w:rsid w:val="610F4B92"/>
    <w:rsid w:val="61326FB1"/>
    <w:rsid w:val="61384C31"/>
    <w:rsid w:val="61E77A7E"/>
    <w:rsid w:val="61F16F63"/>
    <w:rsid w:val="622A4138"/>
    <w:rsid w:val="62385483"/>
    <w:rsid w:val="62385A6C"/>
    <w:rsid w:val="626F54FE"/>
    <w:rsid w:val="62876D77"/>
    <w:rsid w:val="62CA4AF4"/>
    <w:rsid w:val="62E4371E"/>
    <w:rsid w:val="632045D1"/>
    <w:rsid w:val="6342544F"/>
    <w:rsid w:val="63720424"/>
    <w:rsid w:val="6387285F"/>
    <w:rsid w:val="63A31ABC"/>
    <w:rsid w:val="63C65078"/>
    <w:rsid w:val="63EA156F"/>
    <w:rsid w:val="63EA6D88"/>
    <w:rsid w:val="64621F9C"/>
    <w:rsid w:val="64A537DD"/>
    <w:rsid w:val="64B45425"/>
    <w:rsid w:val="64B96E85"/>
    <w:rsid w:val="64BB6795"/>
    <w:rsid w:val="64D069A0"/>
    <w:rsid w:val="64F27E75"/>
    <w:rsid w:val="65067C78"/>
    <w:rsid w:val="653C2C5E"/>
    <w:rsid w:val="65662197"/>
    <w:rsid w:val="656B5D01"/>
    <w:rsid w:val="658C79F9"/>
    <w:rsid w:val="65A33DF6"/>
    <w:rsid w:val="65BE04E1"/>
    <w:rsid w:val="65F429F0"/>
    <w:rsid w:val="665A6FDB"/>
    <w:rsid w:val="66B368AE"/>
    <w:rsid w:val="66B532F3"/>
    <w:rsid w:val="66C2760F"/>
    <w:rsid w:val="675054F0"/>
    <w:rsid w:val="675A3B6C"/>
    <w:rsid w:val="67AF7DB6"/>
    <w:rsid w:val="680564C6"/>
    <w:rsid w:val="681B3F7A"/>
    <w:rsid w:val="68233428"/>
    <w:rsid w:val="6844529D"/>
    <w:rsid w:val="68B54AF7"/>
    <w:rsid w:val="68CA009F"/>
    <w:rsid w:val="695B5920"/>
    <w:rsid w:val="69B35A0D"/>
    <w:rsid w:val="69CC607C"/>
    <w:rsid w:val="69EA1163"/>
    <w:rsid w:val="69F96768"/>
    <w:rsid w:val="6A287F98"/>
    <w:rsid w:val="6AB40496"/>
    <w:rsid w:val="6ABD1D5E"/>
    <w:rsid w:val="6AF33939"/>
    <w:rsid w:val="6B795D62"/>
    <w:rsid w:val="6B910AA0"/>
    <w:rsid w:val="6BC747F5"/>
    <w:rsid w:val="6BD35CE4"/>
    <w:rsid w:val="6C3014BE"/>
    <w:rsid w:val="6C5D414F"/>
    <w:rsid w:val="6C761A36"/>
    <w:rsid w:val="6C8816CB"/>
    <w:rsid w:val="6CA324B4"/>
    <w:rsid w:val="6CDE17FD"/>
    <w:rsid w:val="6D1D2C91"/>
    <w:rsid w:val="6D232D3C"/>
    <w:rsid w:val="6D2F5D1E"/>
    <w:rsid w:val="6D792112"/>
    <w:rsid w:val="6D9B1357"/>
    <w:rsid w:val="6E641038"/>
    <w:rsid w:val="6EBD0EA6"/>
    <w:rsid w:val="6F435405"/>
    <w:rsid w:val="6F4810D8"/>
    <w:rsid w:val="6F6D2BAA"/>
    <w:rsid w:val="6F8F1120"/>
    <w:rsid w:val="6F9A4A47"/>
    <w:rsid w:val="6FD909A9"/>
    <w:rsid w:val="701710D0"/>
    <w:rsid w:val="70607590"/>
    <w:rsid w:val="70795456"/>
    <w:rsid w:val="709946EC"/>
    <w:rsid w:val="72702455"/>
    <w:rsid w:val="728F2E47"/>
    <w:rsid w:val="72973011"/>
    <w:rsid w:val="72E42D1B"/>
    <w:rsid w:val="731254DC"/>
    <w:rsid w:val="734F0911"/>
    <w:rsid w:val="736054C4"/>
    <w:rsid w:val="736230CF"/>
    <w:rsid w:val="736C572D"/>
    <w:rsid w:val="73A422EB"/>
    <w:rsid w:val="74103E55"/>
    <w:rsid w:val="745B622A"/>
    <w:rsid w:val="753E2D2E"/>
    <w:rsid w:val="75DB13A5"/>
    <w:rsid w:val="75E552E3"/>
    <w:rsid w:val="75EC38CD"/>
    <w:rsid w:val="76174057"/>
    <w:rsid w:val="7648538B"/>
    <w:rsid w:val="76577132"/>
    <w:rsid w:val="76BD747C"/>
    <w:rsid w:val="76CD52EB"/>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ACB083F"/>
    <w:rsid w:val="7B1F77A4"/>
    <w:rsid w:val="7B292799"/>
    <w:rsid w:val="7B86707C"/>
    <w:rsid w:val="7C090682"/>
    <w:rsid w:val="7C4E6027"/>
    <w:rsid w:val="7C6A6CA8"/>
    <w:rsid w:val="7CC41AB2"/>
    <w:rsid w:val="7CF04E00"/>
    <w:rsid w:val="7D0B04E5"/>
    <w:rsid w:val="7D41026F"/>
    <w:rsid w:val="7D59343F"/>
    <w:rsid w:val="7E0A78B3"/>
    <w:rsid w:val="7E2912F3"/>
    <w:rsid w:val="7F094928"/>
    <w:rsid w:val="7F2F1F64"/>
    <w:rsid w:val="7F9026D0"/>
    <w:rsid w:val="7F984417"/>
    <w:rsid w:val="7FD91DE8"/>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2"/>
    <w:semiHidden/>
    <w:unhideWhenUsed/>
    <w:qFormat/>
    <w:uiPriority w:val="99"/>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tabs>
        <w:tab w:val="left" w:pos="540"/>
      </w:tabs>
      <w:ind w:firstLine="420" w:firstLineChars="2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Times New Roman" w:hAnsi="Times New Roman" w:eastAsia="宋体" w:cs="Times New Roman"/>
      <w:sz w:val="18"/>
      <w:szCs w:val="18"/>
    </w:rPr>
  </w:style>
  <w:style w:type="character" w:customStyle="1" w:styleId="11">
    <w:name w:val="页脚 字符"/>
    <w:basedOn w:val="9"/>
    <w:link w:val="2"/>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1453</Words>
  <Characters>8286</Characters>
  <Lines>69</Lines>
  <Paragraphs>19</Paragraphs>
  <TotalTime>0</TotalTime>
  <ScaleCrop>false</ScaleCrop>
  <LinksUpToDate>false</LinksUpToDate>
  <CharactersWithSpaces>9720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2021-07-08T12:33:03Z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2757EBA6FFB94E64A140746C33481C44</vt:lpwstr>
  </property>
</Properties>
</file>