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64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128"/>
        <w:gridCol w:w="96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960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文平、冉景洲（</w:t>
            </w:r>
            <w:bookmarkStart w:id="0" w:name="审核开始日"/>
            <w:r>
              <w:rPr>
                <w:rFonts w:hint="eastAsia"/>
                <w:color w:val="000000"/>
                <w:szCs w:val="21"/>
              </w:rPr>
              <w:t>2021年06月13日 上午</w:t>
            </w:r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1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6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6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重庆建恒车科技有限公司，</w:t>
            </w:r>
            <w:r>
              <w:rPr>
                <w:rFonts w:hint="eastAsia" w:ascii="宋体" w:hAnsi="宋体"/>
                <w:szCs w:val="21"/>
              </w:rPr>
              <w:t>长期从事汽车配件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的加工及销售</w:t>
            </w:r>
            <w:r>
              <w:rPr>
                <w:rFonts w:hint="eastAsia" w:ascii="宋体" w:hAnsi="宋体"/>
                <w:szCs w:val="21"/>
              </w:rPr>
              <w:t>，目前员工人数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5人，经营状况良好。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抽查：组织机构图、职</w:t>
            </w:r>
            <w:r>
              <w:rPr>
                <w:rFonts w:hint="eastAsia" w:ascii="宋体" w:hAnsi="宋体"/>
                <w:szCs w:val="21"/>
                <w:highlight w:val="none"/>
              </w:rPr>
              <w:t>能分配表、职责描述，基本保持一致。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公司销售的汽车配件（金属支架、衬套）是自己生产的产品，未有其它供方，本</w:t>
            </w:r>
            <w:r>
              <w:rPr>
                <w:rFonts w:hint="eastAsia" w:ascii="宋体" w:hAnsi="宋体"/>
                <w:szCs w:val="21"/>
                <w:lang w:eastAsia="zh-CN"/>
              </w:rPr>
              <w:t>次环境、职业健康管理体系认证审核部门为行政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公司注册地址</w:t>
            </w:r>
            <w:r>
              <w:rPr>
                <w:rFonts w:hint="eastAsia" w:ascii="宋体" w:hAnsi="宋体"/>
                <w:szCs w:val="21"/>
                <w:lang w:eastAsia="zh-CN"/>
              </w:rPr>
              <w:t>为：</w:t>
            </w:r>
            <w:bookmarkStart w:id="1" w:name="注册地址"/>
            <w:r>
              <w:t>重庆市沙坪坝区下中渡口130号7号楼第三层2-80号</w:t>
            </w:r>
            <w:bookmarkEnd w:id="1"/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 w:ascii="宋体" w:hAnsi="宋体"/>
                <w:szCs w:val="21"/>
                <w:lang w:val="de-DE"/>
              </w:rPr>
              <w:t>生产经营地址：</w:t>
            </w:r>
            <w:bookmarkStart w:id="2" w:name="生产地址"/>
            <w:r>
              <w:t>重庆市北碚区歇马镇卫星村沙湾组40号</w:t>
            </w:r>
            <w:bookmarkEnd w:id="2"/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de-DE"/>
              </w:rPr>
              <w:t>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EMS: </w:t>
            </w:r>
            <w:r>
              <w:rPr>
                <w:rFonts w:hint="eastAsia" w:ascii="宋体" w:hAnsi="宋体"/>
                <w:szCs w:val="21"/>
                <w:lang w:eastAsia="zh-CN"/>
              </w:rPr>
              <w:t>汽车配件（金属支架、衬套）</w:t>
            </w:r>
            <w:r>
              <w:rPr>
                <w:rFonts w:hint="eastAsia" w:ascii="宋体" w:hAnsi="宋体"/>
                <w:szCs w:val="21"/>
              </w:rPr>
              <w:t>的销售所涉及场所的相关环境管理活动。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</w:t>
            </w:r>
            <w:r>
              <w:rPr>
                <w:rFonts w:hint="eastAsia" w:ascii="宋体" w:hAnsi="宋体"/>
                <w:szCs w:val="21"/>
                <w:lang w:eastAsia="zh-CN"/>
              </w:rPr>
              <w:t>汽车配件（金属支架、衬套）</w:t>
            </w:r>
            <w:r>
              <w:rPr>
                <w:rFonts w:hint="eastAsia" w:ascii="宋体" w:hAnsi="宋体"/>
                <w:szCs w:val="21"/>
              </w:rPr>
              <w:t>的销售所涉及场所的相关职业健康安全管理活动。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询问，主要设备为电脑及办公设备（含传真机、打印机等）和空调等，关键过程：销售过程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也是特殊过程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查体系运行时间：20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月1日。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查，管理体系文件名称：质量手册，程序文件2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  <w:tc>
          <w:tcPr>
            <w:tcW w:w="968" w:type="dxa"/>
          </w:tcPr>
          <w:p>
            <w:pPr>
              <w:spacing w:line="4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E/S：4.1、4.2、4.3、4.4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环境职业健康安全方针为：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保障安全  预防污染  遵守法规  持续改进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职业健康安全管理目标：</w:t>
            </w:r>
          </w:p>
          <w:p>
            <w:pPr>
              <w:tabs>
                <w:tab w:val="left" w:pos="900"/>
              </w:tabs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1、固废处置率100%</w:t>
            </w:r>
          </w:p>
          <w:p>
            <w:pPr>
              <w:tabs>
                <w:tab w:val="left" w:pos="900"/>
              </w:tabs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2、火灾、环境污染事件为零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968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内审时间：2021年5月20日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内审组：组长（A） ：卓雅利    组员（B）：黄兵。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有：《内审不符合项报告》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份，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涉及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供销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部E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S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5.3，不符合描述“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抽查主管人员,不熟悉环境职责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；2）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涉及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部E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S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6.2，不符合描述“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不能提供本部门环境目标指标策划证据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”，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有《内部审核报告》，有审核结论。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2021年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Times New Roman"/>
                <w:szCs w:val="21"/>
              </w:rPr>
              <w:t>由总经</w:t>
            </w:r>
            <w:r>
              <w:rPr>
                <w:rFonts w:hint="eastAsia" w:ascii="宋体" w:hAnsi="宋体"/>
                <w:szCs w:val="21"/>
              </w:rPr>
              <w:t>理主持完成。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提出以下改进内容：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1、加强标准培训；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2、加强对重要环境因素和重大危险源的运行控制。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中华人民共和国合同法、中华人民共和国劳动法、中华人民共和国安全消防法、中华人民共和国劳动合同法、中华人民共和国产品质量法、中华人民共和国安全生产法、中华人民共和国消费者权益保护法等。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不适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《污水排入城镇下水道水质标准》（GB/T 31962-2015）表1中B级标准。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2021年4月10日进行了合规性评价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1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Cs w:val="21"/>
                <w:highlight w:val="none"/>
              </w:rPr>
              <w:t>后服务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销售为关键过程。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1）潜在火灾；2）固废的排放。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火灾；2）</w:t>
            </w:r>
            <w:r>
              <w:rPr>
                <w:rFonts w:hint="eastAsia"/>
                <w:szCs w:val="21"/>
                <w:lang w:val="en-US" w:eastAsia="zh-CN"/>
              </w:rPr>
              <w:t>中暑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《消防应急预案》，2021年3月25日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进行</w:t>
            </w:r>
            <w:r>
              <w:rPr>
                <w:rFonts w:hint="eastAsia" w:ascii="宋体" w:hAnsi="宋体"/>
                <w:szCs w:val="21"/>
                <w:highlight w:val="none"/>
              </w:rPr>
              <w:t>了火灾应急预案演练。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未设库房，产品装卸采用手动液压叉车作业。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  <w:bookmarkStart w:id="3" w:name="_GoBack"/>
            <w:bookmarkEnd w:id="3"/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12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128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通过一阶段对受审核方的生产场所、办公场所巡视和观察，对管理体系绩效要求有重大影响的过程、活动、场所和现场运行进行观察、巡视及总体性评价，组织具备二阶段审核条件，可进行二阶段审核。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二阶段环境、职业健康安全管理体系宜重点关注（销售过程质量控制、环境、职业健康安全保护等）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重点审核部门：行政部、供销部。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重点审核过程：合同评审、产品交付、顾客满意等。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5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888DF"/>
    <w:multiLevelType w:val="singleLevel"/>
    <w:tmpl w:val="AE0888D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25C0E"/>
    <w:rsid w:val="0467463F"/>
    <w:rsid w:val="1B81739C"/>
    <w:rsid w:val="30E347E0"/>
    <w:rsid w:val="3DF7476E"/>
    <w:rsid w:val="472E1DCF"/>
    <w:rsid w:val="48946290"/>
    <w:rsid w:val="66BC2F0F"/>
    <w:rsid w:val="78886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lock Text"/>
    <w:basedOn w:val="1"/>
    <w:qFormat/>
    <w:uiPriority w:val="0"/>
    <w:pPr>
      <w:ind w:left="1785" w:right="3407"/>
    </w:pPr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2021-06-18T01:45:41Z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