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color w:val="000000" w:themeColor="text1"/>
          <w:sz w:val="24"/>
          <w:szCs w:val="24"/>
          <w:lang w:val="en-US" w:eastAsia="zh-CN"/>
        </w:rPr>
      </w:pPr>
      <w:r>
        <w:rPr>
          <w:rFonts w:hint="eastAsia" w:ascii="Times New Roman" w:hAnsi="Times New Roman" w:eastAsia="宋体" w:cs="Times New Roman"/>
          <w:b/>
          <w:bCs/>
          <w:sz w:val="24"/>
          <w:szCs w:val="24"/>
          <w:lang w:val="en-US" w:eastAsia="zh-CN"/>
        </w:rPr>
        <w:t>编号：</w:t>
      </w:r>
      <w:bookmarkStart w:id="0" w:name="合同编号"/>
      <w:r>
        <w:rPr>
          <w:b/>
          <w:bCs/>
          <w:sz w:val="24"/>
          <w:szCs w:val="24"/>
        </w:rPr>
        <w:t>0599-2021-QEO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贵州亿海融城环保科技有限公司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贵州亿海融城环保科技有限公司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贵州省贵阳市云岩区渔安安井未来方舟第D12组团(A)1单元21层2号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550000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贵州省贵阳市观山湖区观山东路338号中关村贵阳科技园观山湖大数据科技产业园项目C地块C4栋1单元2402</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550000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段文滨</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18088135555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康婷婷</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康婷婷</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钟毅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Q：污水处理设备、净水设备、机电设备、五金交电的销售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E：污水处理设备、净水设备、机电设备、五金交电的销售所涉及场所的相关环境管理活动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O：污水处理设备、净水设备、机电设备、五金交电的销售所涉及场所的相关职业健康安全管理活动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2020-09-10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市场部</w:t>
            </w:r>
          </w:p>
        </w:tc>
        <w:tc>
          <w:tcPr>
            <w:tcW w:w="6804" w:type="dxa"/>
          </w:tcPr>
          <w:p>
            <w:pPr>
              <w:jc w:val="center"/>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采购管理；合同管理；供方管理；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污水处理设备、净水设备、机电设备、五金交电的销售</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 w:val="20"/>
                <w:szCs w:val="20"/>
              </w:rPr>
            </w:pPr>
            <w:r>
              <w:rPr>
                <w:rFonts w:hint="eastAsia" w:ascii="宋体" w:hAnsi="宋体" w:cs="宋体"/>
                <w:b w:val="0"/>
                <w:bCs w:val="0"/>
                <w:color w:val="000000"/>
                <w:kern w:val="2"/>
                <w:sz w:val="21"/>
                <w:szCs w:val="21"/>
                <w:highlight w:val="none"/>
                <w:lang w:val="en-US" w:eastAsia="zh-CN" w:bidi="ar-SA"/>
              </w:rPr>
              <w:t>JB/T 8938-1999   污水处理设备 通用技术条件；CJ/T 169-2018 微滤水处理设备；JB/T 8938-1999   污水处理设备 通用技术条件；JB/T 8938-1999  污水处理设备 通用技术条件；CJ/T 109-2007 潜水搅拌机；DB41/T 597-2018 PVC-U供水管井技术规范；API3 阀门环保排放标准、</w:t>
            </w:r>
            <w:r>
              <w:rPr>
                <w:rFonts w:hint="eastAsia" w:ascii="宋体" w:hAnsi="宋体" w:eastAsia="宋体" w:cs="宋体"/>
                <w:b w:val="0"/>
                <w:bCs w:val="0"/>
                <w:color w:val="000000"/>
                <w:kern w:val="2"/>
                <w:sz w:val="21"/>
                <w:szCs w:val="21"/>
                <w:highlight w:val="none"/>
                <w:lang w:val="en-US" w:eastAsia="zh-CN" w:bidi="ar-SA"/>
              </w:rPr>
              <w:t>合同协议等</w:t>
            </w:r>
            <w:r>
              <w:rPr>
                <w:rFonts w:hint="eastAsia"/>
                <w:color w:val="000000" w:themeColor="text1"/>
                <w:highlight w:val="none"/>
              </w:rPr>
              <w:t>。</w:t>
            </w:r>
            <w:bookmarkStart w:id="23" w:name="_GoBack"/>
            <w:bookmarkEnd w:id="23"/>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组织对内外部因素、相关方需求和期望进行了充分的识别，策划和实施有效。组织确定了体系的边界，基本适用。管理体系条款无不适用条款</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ascii="宋体" w:hAnsi="宋体"/>
                <w:b/>
                <w:color w:val="000000" w:themeColor="text1"/>
                <w:sz w:val="20"/>
                <w:szCs w:val="20"/>
              </w:rPr>
              <w:t>质量/</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76" w:lineRule="auto"/>
              <w:rPr>
                <w:rFonts w:hint="eastAsia" w:ascii="宋体" w:hAnsi="宋体" w:eastAsia="宋体" w:cs="宋体"/>
                <w:color w:val="000000"/>
                <w:szCs w:val="21"/>
              </w:rPr>
            </w:pPr>
            <w:r>
              <w:rPr>
                <w:rFonts w:hint="eastAsia" w:ascii="宋体" w:hAnsi="宋体" w:cs="宋体"/>
                <w:szCs w:val="21"/>
              </w:rPr>
              <w:t>质量、环境和职业健康安全方针：</w:t>
            </w:r>
          </w:p>
          <w:p>
            <w:pPr>
              <w:pStyle w:val="3"/>
              <w:rPr>
                <w:rFonts w:hint="eastAsia" w:ascii="宋体" w:hAnsi="宋体" w:cs="宋体"/>
                <w:szCs w:val="21"/>
              </w:rPr>
            </w:pPr>
            <w:r>
              <w:rPr>
                <w:rFonts w:hint="eastAsia" w:ascii="宋体" w:hAnsi="宋体" w:cs="宋体"/>
                <w:szCs w:val="21"/>
              </w:rPr>
              <w:t>质量为本、满意服务；污染预防、全员环保；</w:t>
            </w:r>
          </w:p>
          <w:p>
            <w:pPr>
              <w:pStyle w:val="3"/>
              <w:rPr>
                <w:rFonts w:ascii="宋体" w:hAnsi="Courier New" w:eastAsia="宋体" w:cs="Times New Roman"/>
                <w:b/>
                <w:color w:val="000000" w:themeColor="text1"/>
                <w:kern w:val="2"/>
                <w:sz w:val="21"/>
                <w:szCs w:val="24"/>
                <w:lang w:val="en-US" w:eastAsia="zh-CN" w:bidi="ar-SA"/>
              </w:rPr>
            </w:pPr>
            <w:r>
              <w:rPr>
                <w:rFonts w:hint="eastAsia" w:ascii="宋体" w:hAnsi="宋体" w:cs="宋体"/>
                <w:szCs w:val="21"/>
              </w:rPr>
              <w:t>安全为天、珍爱生命；遵纪守法、持续改进。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hint="eastAsia"/>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w:t>
            </w:r>
          </w:p>
          <w:p>
            <w:pPr>
              <w:spacing w:line="240" w:lineRule="exact"/>
              <w:rPr>
                <w:rFonts w:hint="default"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供方评审、合同评审、销售过程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u w:val="single"/>
                <w:lang w:val="en-US" w:eastAsia="zh-CN"/>
              </w:rPr>
              <w:t>销售过程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val="en-US" w:eastAsia="zh-CN"/>
              </w:rPr>
              <w:t>销售过程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ascii="宋体" w:hAnsi="宋体" w:eastAsia="宋体" w:cs="Lucida Sans"/>
                <w:sz w:val="21"/>
                <w:szCs w:val="21"/>
                <w:u w:val="single"/>
              </w:rPr>
              <w:t>由于公司销售的产品是顾客的要求进行进行服务，不承担设计责任，且销售服务成熟经营模式，所以GB/T19001-2016标准8.3条款不适用。对不适用的条款，公司有能力保证向顾客提供符合法律法规要求和满足顾客要求的合格产品的能力和责任。</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lang w:val="en-US" w:eastAsia="zh-CN"/>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r>
              <w:rPr>
                <w:rFonts w:hint="eastAsia" w:ascii="宋体" w:hAnsi="宋体"/>
                <w:b/>
                <w:color w:val="000000" w:themeColor="text1"/>
                <w:spacing w:val="-8"/>
                <w:sz w:val="20"/>
                <w:szCs w:val="20"/>
                <w:lang w:val="en-US" w:eastAsia="zh-CN"/>
              </w:rPr>
              <w:t xml:space="preserve">  </w:t>
            </w:r>
          </w:p>
          <w:p>
            <w:pPr>
              <w:spacing w:line="300" w:lineRule="exact"/>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hint="eastAsia" w:ascii="宋体" w:hAnsi="宋体" w:eastAsia="宋体"/>
                <w:b/>
                <w:color w:val="000000" w:themeColor="text1"/>
                <w:szCs w:val="21"/>
                <w:u w:val="single"/>
                <w:lang w:eastAsia="zh-CN"/>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76" w:lineRule="auto"/>
              <w:rPr>
                <w:rFonts w:ascii="宋体" w:hAnsi="宋体" w:cs="宋体"/>
                <w:szCs w:val="21"/>
              </w:rPr>
            </w:pPr>
            <w:r>
              <w:rPr>
                <w:rFonts w:hint="eastAsia" w:ascii="宋体" w:hAnsi="宋体" w:cs="宋体"/>
                <w:szCs w:val="21"/>
              </w:rPr>
              <w:t>公司管理目标</w:t>
            </w:r>
          </w:p>
          <w:p>
            <w:pPr>
              <w:spacing w:line="276" w:lineRule="auto"/>
              <w:rPr>
                <w:rFonts w:hint="eastAsia" w:ascii="宋体" w:hAnsi="宋体" w:cs="宋体"/>
                <w:szCs w:val="21"/>
              </w:rPr>
            </w:pPr>
            <w:r>
              <w:rPr>
                <w:rFonts w:hint="eastAsia" w:ascii="宋体" w:hAnsi="宋体" w:cs="宋体"/>
                <w:szCs w:val="21"/>
              </w:rPr>
              <w:t>质量目标：</w:t>
            </w:r>
          </w:p>
          <w:p>
            <w:pPr>
              <w:spacing w:line="276" w:lineRule="auto"/>
              <w:rPr>
                <w:rFonts w:hint="eastAsia" w:ascii="宋体" w:hAnsi="宋体" w:cs="宋体"/>
                <w:szCs w:val="21"/>
              </w:rPr>
            </w:pPr>
            <w:r>
              <w:rPr>
                <w:rFonts w:hint="eastAsia" w:ascii="宋体" w:hAnsi="宋体" w:cs="宋体"/>
                <w:szCs w:val="21"/>
              </w:rPr>
              <w:t>1.产品交付合格率100%；</w:t>
            </w:r>
          </w:p>
          <w:p>
            <w:pPr>
              <w:spacing w:line="276" w:lineRule="auto"/>
              <w:rPr>
                <w:rFonts w:hint="eastAsia" w:ascii="宋体" w:hAnsi="宋体" w:cs="宋体"/>
                <w:szCs w:val="21"/>
              </w:rPr>
            </w:pPr>
            <w:r>
              <w:rPr>
                <w:rFonts w:hint="eastAsia" w:ascii="宋体" w:hAnsi="宋体" w:cs="宋体"/>
                <w:szCs w:val="21"/>
              </w:rPr>
              <w:t>2.顾客满意率≥90分。</w:t>
            </w:r>
          </w:p>
          <w:p>
            <w:pPr>
              <w:spacing w:line="276" w:lineRule="auto"/>
              <w:rPr>
                <w:rFonts w:hint="eastAsia" w:ascii="宋体" w:hAnsi="宋体" w:cs="宋体"/>
                <w:szCs w:val="21"/>
              </w:rPr>
            </w:pPr>
            <w:r>
              <w:rPr>
                <w:rFonts w:hint="eastAsia" w:ascii="宋体" w:hAnsi="宋体" w:cs="宋体"/>
                <w:szCs w:val="21"/>
              </w:rPr>
              <w:t>环境目标：</w:t>
            </w:r>
          </w:p>
          <w:p>
            <w:pPr>
              <w:spacing w:line="276" w:lineRule="auto"/>
              <w:rPr>
                <w:rFonts w:hint="eastAsia" w:ascii="宋体" w:hAnsi="宋体" w:cs="宋体"/>
                <w:szCs w:val="21"/>
              </w:rPr>
            </w:pPr>
            <w:r>
              <w:rPr>
                <w:rFonts w:hint="eastAsia" w:ascii="宋体" w:hAnsi="宋体" w:cs="宋体"/>
                <w:szCs w:val="21"/>
              </w:rPr>
              <w:t>1.火灾事故为0；</w:t>
            </w:r>
          </w:p>
          <w:p>
            <w:pPr>
              <w:spacing w:line="276" w:lineRule="auto"/>
              <w:rPr>
                <w:rFonts w:hint="eastAsia" w:ascii="宋体" w:hAnsi="宋体" w:cs="宋体"/>
                <w:szCs w:val="21"/>
              </w:rPr>
            </w:pPr>
            <w:r>
              <w:rPr>
                <w:rFonts w:hint="eastAsia" w:ascii="宋体" w:hAnsi="宋体" w:cs="宋体"/>
                <w:szCs w:val="21"/>
              </w:rPr>
              <w:t>2.固体废弃物100%合规处理；</w:t>
            </w:r>
          </w:p>
          <w:p>
            <w:pPr>
              <w:spacing w:line="276" w:lineRule="auto"/>
              <w:rPr>
                <w:rFonts w:hint="eastAsia" w:ascii="宋体" w:hAnsi="宋体" w:cs="宋体"/>
                <w:szCs w:val="21"/>
              </w:rPr>
            </w:pPr>
            <w:r>
              <w:rPr>
                <w:rFonts w:hint="eastAsia" w:ascii="宋体" w:hAnsi="宋体" w:cs="宋体"/>
                <w:szCs w:val="21"/>
              </w:rPr>
              <w:t>职业健康安全管理目标：</w:t>
            </w:r>
          </w:p>
          <w:p>
            <w:pPr>
              <w:spacing w:line="276" w:lineRule="auto"/>
              <w:rPr>
                <w:rFonts w:hint="eastAsia" w:ascii="宋体" w:hAnsi="宋体" w:cs="宋体"/>
                <w:szCs w:val="21"/>
              </w:rPr>
            </w:pPr>
            <w:r>
              <w:rPr>
                <w:rFonts w:hint="eastAsia" w:ascii="宋体" w:hAnsi="宋体" w:cs="宋体"/>
                <w:szCs w:val="21"/>
              </w:rPr>
              <w:t>1.重伤事故为零；</w:t>
            </w:r>
          </w:p>
          <w:p>
            <w:pPr>
              <w:spacing w:line="276" w:lineRule="auto"/>
              <w:rPr>
                <w:rFonts w:ascii="宋体" w:hAnsi="宋体" w:eastAsia="宋体" w:cs="Times New Roman"/>
                <w:b/>
                <w:color w:val="000000" w:themeColor="text1"/>
                <w:kern w:val="2"/>
                <w:sz w:val="21"/>
                <w:szCs w:val="24"/>
                <w:lang w:val="en-US" w:eastAsia="zh-CN" w:bidi="ar-SA"/>
              </w:rPr>
            </w:pPr>
            <w:r>
              <w:rPr>
                <w:rFonts w:hint="eastAsia" w:ascii="宋体" w:hAnsi="宋体" w:cs="宋体"/>
                <w:szCs w:val="21"/>
              </w:rPr>
              <w:t>2.火灾事故为0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bCs/>
                <w:iCs/>
                <w:szCs w:val="22"/>
                <w:lang w:val="en-US" w:eastAsia="zh-CN"/>
              </w:rPr>
              <w:t>销售</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eastAsia="宋体" w:cs="宋体"/>
                <w:color w:val="000000" w:themeColor="text1"/>
              </w:rPr>
              <w:t>办公场所面积1</w:t>
            </w:r>
            <w:r>
              <w:rPr>
                <w:rFonts w:hint="eastAsia" w:ascii="宋体" w:hAnsi="宋体" w:eastAsia="宋体" w:cs="宋体"/>
                <w:color w:val="000000" w:themeColor="text1"/>
                <w:lang w:val="en-US" w:eastAsia="zh-CN"/>
              </w:rPr>
              <w:t>40</w:t>
            </w:r>
            <w:r>
              <w:rPr>
                <w:rFonts w:hint="eastAsia" w:ascii="宋体" w:hAnsi="宋体" w:eastAsia="宋体" w:cs="宋体"/>
                <w:color w:val="000000" w:themeColor="text1"/>
              </w:rPr>
              <w:t>平方左右，</w:t>
            </w:r>
            <w:r>
              <w:rPr>
                <w:rFonts w:hint="eastAsia" w:ascii="宋体" w:hAnsi="宋体"/>
                <w:szCs w:val="21"/>
                <w:highlight w:val="none"/>
                <w:lang w:val="en-US" w:eastAsia="zh-CN"/>
              </w:rPr>
              <w:t>有面积20平方米库房1个。</w:t>
            </w:r>
            <w:r>
              <w:rPr>
                <w:rFonts w:hint="eastAsia" w:ascii="宋体" w:hAnsi="宋体" w:eastAsia="宋体" w:cs="宋体"/>
                <w:color w:val="000000" w:themeColor="text1"/>
              </w:rPr>
              <w:t>主要设备为办公室设备，可以满足</w:t>
            </w:r>
            <w:r>
              <w:rPr>
                <w:rFonts w:hint="eastAsia" w:ascii="宋体" w:hAnsi="宋体"/>
                <w:szCs w:val="21"/>
                <w:lang w:eastAsia="zh-CN"/>
              </w:rPr>
              <w:t>污水处理设备、净水设备、机电设备、五金交电的销售</w:t>
            </w:r>
            <w:r>
              <w:rPr>
                <w:rFonts w:hint="eastAsia" w:ascii="宋体" w:hAnsi="宋体" w:eastAsia="宋体" w:cs="宋体"/>
                <w:color w:val="000000" w:themeColor="text1"/>
              </w:rPr>
              <w:t>的需要。对设备按要求维护保养，并实施。特种设备：无。公司未建立信息管理系统用于生产和服务。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 xml:space="preserve">    </w:t>
            </w:r>
          </w:p>
          <w:p>
            <w:pPr>
              <w:spacing w:line="240" w:lineRule="exact"/>
              <w:rPr>
                <w:rFonts w:hint="default" w:ascii="宋体" w:hAnsi="宋体" w:eastAsia="宋体" w:cs="Times New Roman"/>
                <w:b/>
                <w:color w:val="000000" w:themeColor="text1"/>
                <w:kern w:val="2"/>
                <w:sz w:val="20"/>
                <w:szCs w:val="20"/>
                <w:lang w:val="en-US" w:eastAsia="zh-CN" w:bidi="ar-SA"/>
              </w:rPr>
            </w:pPr>
            <w:r>
              <w:rPr>
                <w:rFonts w:hint="eastAsia"/>
                <w:szCs w:val="21"/>
                <w:highlight w:val="none"/>
              </w:rPr>
              <w:t>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eastAsia="宋体" w:cs="宋体"/>
                <w:szCs w:val="21"/>
              </w:rPr>
            </w:pPr>
            <w:r>
              <w:rPr>
                <w:rFonts w:hint="eastAsia" w:ascii="宋体" w:hAnsi="宋体" w:eastAsia="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eastAsia="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lang w:val="en-US" w:eastAsia="zh-CN"/>
              </w:rPr>
              <w:t xml:space="preserve">  </w:t>
            </w:r>
          </w:p>
          <w:p>
            <w:pPr>
              <w:spacing w:line="300" w:lineRule="exact"/>
              <w:ind w:left="1" w:leftChars="0"/>
              <w:rPr>
                <w:rFonts w:hint="default"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制定并实施了检验控制规定，规定了公司各管理层次和品质检测部门在各阶段对设计成果质量实施检查与验收的管理要求，设计成果的验收工作均在交付前予以完成。内容基本具备全面性、系统性及可操作性，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color w:val="000000" w:themeColor="text1"/>
              </w:rPr>
              <w:t>组织重要环境因</w:t>
            </w:r>
            <w:r>
              <w:rPr>
                <w:rFonts w:hint="eastAsia" w:asciiTheme="minorEastAsia" w:hAnsiTheme="minorEastAsia" w:eastAsiaTheme="minorEastAsia"/>
                <w:bCs/>
                <w:iCs/>
              </w:rPr>
              <w:t>素为</w:t>
            </w:r>
            <w:r>
              <w:rPr>
                <w:rFonts w:hint="eastAsia" w:ascii="宋体" w:hAnsi="宋体"/>
                <w:szCs w:val="21"/>
              </w:rPr>
              <w:t>潜在火灾、固废排放</w:t>
            </w:r>
            <w:r>
              <w:rPr>
                <w:rFonts w:hint="eastAsia" w:asciiTheme="minorEastAsia" w:hAnsiTheme="minorEastAsia" w:eastAsiaTheme="minorEastAsia"/>
                <w:bCs/>
                <w:iCs/>
              </w:rPr>
              <w:t>，需要应对的风险和机遇相关的过程为设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imes New Roman" w:hAnsi="Times New Roman" w:eastAsia="宋体" w:cs="Times New Roman"/>
                <w:b/>
                <w:color w:val="000000" w:themeColor="text1"/>
                <w:spacing w:val="-4"/>
                <w:kern w:val="2"/>
                <w:sz w:val="20"/>
                <w:szCs w:val="20"/>
                <w:lang w:val="en-US" w:eastAsia="zh-CN" w:bidi="ar-SA"/>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rFonts w:ascii="Times New Roman" w:hAnsi="Times New Roman"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bCs/>
                <w:iCs/>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cs="Times New Roman" w:asciiTheme="minorEastAsia" w:hAnsiTheme="minorEastAsia" w:eastAsiaTheme="minorEastAsia"/>
                <w:bCs/>
                <w:iCs/>
                <w:lang w:val="en-US" w:eastAsia="zh-CN"/>
              </w:rPr>
              <w:t>20</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9</w:t>
            </w:r>
            <w:r>
              <w:rPr>
                <w:rFonts w:hint="eastAsia" w:cs="Times New Roman" w:asciiTheme="minorEastAsia" w:hAnsiTheme="minorEastAsia" w:eastAsiaTheme="minorEastAsia"/>
                <w:bCs/>
                <w:iCs/>
              </w:rPr>
              <w:t>月</w:t>
            </w:r>
            <w:r>
              <w:rPr>
                <w:rFonts w:hint="eastAsia" w:cs="Times New Roman" w:asciiTheme="minorEastAsia" w:hAnsiTheme="minorEastAsia" w:eastAsiaTheme="minorEastAsia"/>
                <w:bCs/>
                <w:iCs/>
                <w:lang w:val="en-US" w:eastAsia="zh-CN"/>
              </w:rPr>
              <w:t>-</w:t>
            </w:r>
            <w:r>
              <w:rPr>
                <w:rFonts w:hint="eastAsia" w:cs="Times New Roman" w:asciiTheme="minorEastAsia" w:hAnsiTheme="minorEastAsia" w:eastAsiaTheme="minorEastAsia"/>
                <w:bCs/>
                <w:iCs/>
              </w:rPr>
              <w:t>20</w:t>
            </w:r>
            <w:r>
              <w:rPr>
                <w:rFonts w:hint="eastAsia" w:cs="Times New Roman" w:asciiTheme="minorEastAsia" w:hAnsiTheme="minorEastAsia" w:eastAsiaTheme="minorEastAsia"/>
                <w:bCs/>
                <w:iCs/>
                <w:lang w:val="en-US" w:eastAsia="zh-CN"/>
              </w:rPr>
              <w:t>21</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5</w:t>
            </w:r>
            <w:r>
              <w:rPr>
                <w:rFonts w:hint="eastAsia" w:cs="Times New Roman" w:asciiTheme="minorEastAsia" w:hAnsiTheme="minorEastAsia" w:eastAsiaTheme="minorEastAsia"/>
                <w:bCs/>
                <w:iCs/>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5" w:leftChars="0" w:hanging="105" w:hangingChars="50"/>
              <w:rPr>
                <w:rFonts w:hint="default" w:ascii="Times New Roman" w:hAnsi="Times New Roman"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bCs/>
                <w:iCs/>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月实施，</w:t>
            </w:r>
            <w:r>
              <w:rPr>
                <w:rFonts w:hint="eastAsia" w:cs="Times New Roman" w:asciiTheme="minorEastAsia" w:hAnsiTheme="minorEastAsia" w:eastAsiaTheme="minorEastAsia"/>
                <w:bCs/>
                <w:iCs/>
              </w:rPr>
              <w:t>满意</w:t>
            </w:r>
            <w:r>
              <w:rPr>
                <w:rFonts w:hint="eastAsia" w:cs="Times New Roman" w:asciiTheme="minorEastAsia" w:hAnsiTheme="minorEastAsia" w:eastAsiaTheme="minorEastAsia"/>
                <w:bCs/>
                <w:iCs/>
                <w:lang w:eastAsia="zh-CN"/>
              </w:rPr>
              <w:t>率</w:t>
            </w:r>
            <w:r>
              <w:rPr>
                <w:rFonts w:hint="eastAsia" w:cs="Times New Roman" w:asciiTheme="minorEastAsia" w:hAnsiTheme="minorEastAsia" w:eastAsiaTheme="minorEastAsia"/>
                <w:bCs/>
                <w:iCs/>
              </w:rPr>
              <w:t>评价9</w:t>
            </w:r>
            <w:r>
              <w:rPr>
                <w:rFonts w:hint="eastAsia" w:cs="Times New Roman" w:asciiTheme="minorEastAsia" w:hAnsiTheme="minorEastAsia" w:eastAsiaTheme="minorEastAsia"/>
                <w:bCs/>
                <w:iCs/>
                <w:lang w:val="en-US" w:eastAsia="zh-CN"/>
              </w:rPr>
              <w:t>8分</w:t>
            </w:r>
            <w:r>
              <w:rPr>
                <w:rFonts w:hint="eastAsia" w:cs="Times New Roman" w:asciiTheme="minorEastAsia" w:hAnsiTheme="minorEastAsia" w:eastAsiaTheme="minorEastAsia"/>
                <w:bCs/>
                <w:iCs/>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lang w:val="en-US" w:eastAsia="zh-CN"/>
              </w:rPr>
              <w:t>-11日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eastAsia="zh-CN"/>
              </w:rPr>
              <w:t>综合部</w:t>
            </w:r>
            <w:r>
              <w:rPr>
                <w:rFonts w:hint="eastAsia" w:ascii="宋体" w:hAnsi="宋体"/>
                <w:szCs w:val="21"/>
                <w:lang w:val="en-US" w:eastAsia="zh-CN"/>
              </w:rPr>
              <w:t>Q8.5.1</w:t>
            </w:r>
            <w:r>
              <w:rPr>
                <w:rFonts w:hint="eastAsia" w:ascii="宋体" w:hAnsi="宋体"/>
                <w:szCs w:val="21"/>
              </w:rPr>
              <w:t>条款，公司识别需确认过程为销售服务过程，不能提供对该过程的再确认记录，针对以上不符合项，已及时采取纠正措施后，经内审员验证关闭。内审的有效性需要改善。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 xml:space="preserve">    </w:t>
            </w:r>
          </w:p>
          <w:p>
            <w:pPr>
              <w:tabs>
                <w:tab w:val="left" w:pos="2657"/>
              </w:tabs>
              <w:bidi w:val="0"/>
              <w:jc w:val="left"/>
              <w:rPr>
                <w:rFonts w:hint="default" w:ascii="Times New Roman" w:hAnsi="Times New Roman" w:eastAsia="宋体" w:cs="Times New Roman"/>
                <w:kern w:val="2"/>
                <w:sz w:val="21"/>
                <w:szCs w:val="24"/>
                <w:lang w:val="en-US" w:eastAsia="zh-CN" w:bidi="ar-SA"/>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eastAsia="宋体" w:cs="Times New Roman"/>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一阶段</w:t>
            </w:r>
            <w:r>
              <w:rPr>
                <w:rFonts w:hint="eastAsia"/>
                <w:b/>
                <w:color w:val="000000" w:themeColor="text1"/>
                <w:spacing w:val="-20"/>
                <w:sz w:val="20"/>
                <w:szCs w:val="20"/>
                <w:lang w:eastAsia="zh-CN"/>
              </w:rPr>
              <w:t>无</w:t>
            </w:r>
            <w:r>
              <w:rPr>
                <w:rFonts w:hint="eastAsia"/>
                <w:b/>
                <w:color w:val="000000" w:themeColor="text1"/>
                <w:spacing w:val="-20"/>
                <w:sz w:val="20"/>
                <w:szCs w:val="20"/>
                <w:lang w:val="en-US" w:eastAsia="zh-CN"/>
              </w:rPr>
              <w:t>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lang w:val="en-US" w:eastAsia="zh-CN"/>
        </w:rPr>
        <w:t>不符合项</w:t>
      </w:r>
      <w:r>
        <w:rPr>
          <w:rFonts w:hint="eastAsia"/>
          <w:b/>
          <w:color w:val="000000" w:themeColor="text1"/>
        </w:rPr>
        <w:t>分布在</w:t>
      </w:r>
      <w:r>
        <w:rPr>
          <w:rFonts w:hint="eastAsia"/>
          <w:b/>
          <w:color w:val="000000" w:themeColor="text1"/>
          <w:lang w:val="en-US" w:eastAsia="zh-CN"/>
        </w:rPr>
        <w:t>市场</w:t>
      </w:r>
      <w:r>
        <w:rPr>
          <w:rFonts w:hint="eastAsia"/>
          <w:b/>
          <w:color w:val="000000" w:themeColor="text1"/>
        </w:rPr>
        <w:t>部门</w:t>
      </w:r>
      <w:r>
        <w:rPr>
          <w:rFonts w:hint="eastAsia"/>
          <w:b/>
          <w:color w:val="000000" w:themeColor="text1"/>
          <w:lang w:val="en-US" w:eastAsia="zh-CN"/>
        </w:rPr>
        <w:t>Q9.1.2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宋体" w:hAnsi="宋体"/>
                <w:b/>
                <w:color w:val="000000" w:themeColor="text1"/>
                <w:u w:val="single"/>
              </w:rPr>
            </w:pPr>
            <w:r>
              <w:rPr>
                <w:rFonts w:ascii="宋体" w:hAnsi="宋体"/>
                <w:b/>
                <w:color w:val="000000" w:themeColor="text1"/>
              </w:rPr>
              <w:t>QMS:</w:t>
            </w:r>
            <w:r>
              <w:rPr>
                <w:rFonts w:hint="eastAsia" w:ascii="宋体" w:hAnsi="宋体"/>
                <w:szCs w:val="21"/>
                <w:lang w:eastAsia="zh-CN"/>
              </w:rPr>
              <w:t>污水处理设备、净水设备、机电设备、五金交电的销售</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宋体" w:hAnsi="宋体"/>
                <w:b/>
                <w:color w:val="000000" w:themeColor="text1"/>
                <w:u w:val="single"/>
              </w:rPr>
            </w:pP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lang w:eastAsia="zh-CN"/>
              </w:rPr>
              <w:t>污水处理设备、净水设备、机电设备、五金交电的销售</w:t>
            </w:r>
            <w:r>
              <w:rPr>
                <w:rFonts w:hint="eastAsia" w:ascii="宋体" w:hAnsi="宋体"/>
                <w:szCs w:val="21"/>
              </w:rPr>
              <w:t>所涉及的相关环境管理活动</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宋体" w:hAnsi="宋体"/>
                <w:b/>
                <w:color w:val="000000" w:themeColor="text1"/>
                <w:u w:val="single"/>
                <w:lang w:val="en-GB"/>
              </w:rPr>
            </w:pP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lang w:eastAsia="zh-CN"/>
              </w:rPr>
              <w:t>污水处理设备、净水设备、机电设备、五金交电的销售</w:t>
            </w:r>
            <w:r>
              <w:rPr>
                <w:rFonts w:hint="eastAsia" w:ascii="宋体" w:hAnsi="宋体"/>
                <w:szCs w:val="21"/>
              </w:rPr>
              <w:t>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1594485</wp:posOffset>
            </wp:positionH>
            <wp:positionV relativeFrom="paragraph">
              <wp:posOffset>285115</wp:posOffset>
            </wp:positionV>
            <wp:extent cx="784860" cy="492125"/>
            <wp:effectExtent l="0" t="0" r="7620" b="1079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84860" cy="49212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1644015</wp:posOffset>
            </wp:positionH>
            <wp:positionV relativeFrom="paragraph">
              <wp:posOffset>104775</wp:posOffset>
            </wp:positionV>
            <wp:extent cx="739140" cy="337820"/>
            <wp:effectExtent l="0" t="0" r="7620" b="1270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39140" cy="3378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1</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641350</wp:posOffset>
            </wp:positionH>
            <wp:positionV relativeFrom="paragraph">
              <wp:posOffset>39370</wp:posOffset>
            </wp:positionV>
            <wp:extent cx="793115" cy="497840"/>
            <wp:effectExtent l="0" t="0" r="14605" b="508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93115" cy="4978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 xml:space="preserve"> 21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7968E3"/>
    <w:rsid w:val="44B94FB2"/>
    <w:rsid w:val="4E5D2A49"/>
    <w:rsid w:val="7E471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99"/>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2021-06-18T07:52:29Z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6FFF0A092707491DA383EAA2EC8FE47B</vt:lpwstr>
  </property>
</Properties>
</file>