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贵州亿海融城环保科技有限公司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市场需求－－合同评审－－合同签订－－采购产品－销售产品－－顾客验收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需确认过程：销售过程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，也是关键过程。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依据销售操作手册控制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火灾、触电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交通事故</w:t>
            </w:r>
            <w:r>
              <w:rPr>
                <w:rFonts w:hint="eastAsia"/>
                <w:b w:val="0"/>
                <w:bCs/>
                <w:sz w:val="20"/>
              </w:rPr>
              <w:t>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产品质量法、消费者权益保护法、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中华人民共和国安全消防法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、中华人民共和国道路交通安全法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、中华人民共和国环境保护法、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67945</wp:posOffset>
            </wp:positionV>
            <wp:extent cx="698500" cy="438150"/>
            <wp:effectExtent l="0" t="0" r="2540" b="381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50165</wp:posOffset>
            </wp:positionV>
            <wp:extent cx="676275" cy="424180"/>
            <wp:effectExtent l="0" t="0" r="9525" b="254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2021.6.12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2021.6.12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BB3631"/>
    <w:rsid w:val="1A8E6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2021-06-18T03:02:41Z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EC972E35DD6A411A8F04C436660CE7DF</vt:lpwstr>
  </property>
</Properties>
</file>