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napToGrid w:val="0"/>
              <w:spacing w:line="320" w:lineRule="exact"/>
              <w:rPr>
                <w:rFonts w:hint="eastAsia" w:eastAsia="宋体"/>
                <w:sz w:val="24"/>
                <w:szCs w:val="24"/>
                <w:lang w:eastAsia="zh-CN"/>
              </w:rPr>
            </w:pPr>
            <w:r>
              <w:rPr>
                <w:rFonts w:hint="eastAsia"/>
                <w:sz w:val="24"/>
                <w:szCs w:val="24"/>
              </w:rPr>
              <w:t>受审核部</w:t>
            </w:r>
            <w:r>
              <w:rPr>
                <w:rFonts w:hint="eastAsia" w:ascii="宋体" w:hAnsi="宋体" w:eastAsia="宋体" w:cs="宋体"/>
                <w:color w:val="000000"/>
                <w:sz w:val="24"/>
                <w:szCs w:val="24"/>
                <w:lang w:val="en-US" w:eastAsia="zh-CN"/>
              </w:rPr>
              <w:t xml:space="preserve">门：采购部/财务部     主管领导：罗荣/ 郑丽珍      </w:t>
            </w:r>
            <w:r>
              <w:rPr>
                <w:rFonts w:hint="eastAsia" w:ascii="Times New Roman" w:hAnsi="Times New Roman" w:cs="Times New Roman"/>
                <w:sz w:val="24"/>
                <w:szCs w:val="24"/>
              </w:rPr>
              <w:t xml:space="preserve"> 陪同人员：</w:t>
            </w:r>
            <w:r>
              <w:rPr>
                <w:rFonts w:hint="eastAsia" w:ascii="Times New Roman" w:hAnsi="Times New Roman" w:cs="Times New Roman"/>
                <w:sz w:val="24"/>
                <w:szCs w:val="24"/>
                <w:lang w:val="en-US" w:eastAsia="zh-CN"/>
              </w:rPr>
              <w:t>李雄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审核员：   姜小清 </w:t>
            </w:r>
            <w:r>
              <w:rPr>
                <w:rFonts w:hint="eastAsia" w:ascii="宋体" w:hAnsi="宋体" w:cs="宋体"/>
                <w:color w:val="000000"/>
                <w:sz w:val="24"/>
                <w:szCs w:val="24"/>
                <w:lang w:val="en-US" w:eastAsia="zh-CN"/>
              </w:rPr>
              <w:t xml:space="preserve"> </w:t>
            </w:r>
            <w:r>
              <w:rPr>
                <w:rFonts w:hint="eastAsia"/>
                <w:sz w:val="18"/>
                <w:szCs w:val="18"/>
              </w:rPr>
              <w:t>周文廷</w:t>
            </w:r>
            <w:bookmarkStart w:id="0" w:name="_GoBack"/>
            <w:bookmarkEnd w:id="0"/>
            <w:r>
              <w:rPr>
                <w:rFonts w:hint="eastAsia" w:ascii="宋体" w:hAnsi="宋体" w:eastAsia="宋体" w:cs="宋体"/>
                <w:color w:val="000000"/>
                <w:sz w:val="24"/>
                <w:szCs w:val="24"/>
                <w:lang w:val="en-US" w:eastAsia="zh-CN"/>
              </w:rPr>
              <w:t xml:space="preserve">            审核时间：2021.7.3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审核条款：5.3/6.2/8.1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供方提供产品及服务控制\环境及职业健康安全资金控制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组织的岗位、职责和权限</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5.3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人员和岗位设置：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部门共4人、其中主管1人名、采购1名、财务出纳各1人；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E/H职责和权限：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按照公司环境和职业健康安全要求操作、参与危险源辨识和风险评价及环境因素评价、负责日常环境和安全检查、本部门的环境和安全的培训和教育宣传、不符合的调查和原因分析和纠正及纠正措施和预防措施的实施检查；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未设置环境及安全员、日常环安检查由行政部统一管理；</w:t>
            </w:r>
          </w:p>
        </w:tc>
        <w:tc>
          <w:tcPr>
            <w:tcW w:w="158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环境目标及其实现的策划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职业健康安全目标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GB" w:eastAsia="zh-CN"/>
              </w:rPr>
              <w:t>实现职业健康安全目标的策划</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GB"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一、环境目标、指标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1.潜在火灾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重要环境因素：潜在火灾。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目标：预防火灾发生。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指标：每年次数为0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2.固体废弃物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重要环境因素：有害固体废气物的排放。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目标：减少废弃物的排放，对废弃物进行分类收集，并进行有效处理。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指标：有效处理率为100%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二、职业健康安全目标、指标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1.机械性伤害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重大危险源：机械性伤害。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目标：避免或减少机械性伤害事故的发生。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指标：重大机械性伤害事故0次/年；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轻微机械性伤害事故≤5次/年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2.物体意外打击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重大危险源：物体打击意外事故。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目标：预防物体打击意外事故发生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指标：工伤事故和死亡事故0次，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3.触电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重大危险源：员工触电。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目标：预防员工触电事故的发生。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指标：次数为0次/年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4.潜在火灾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重大危险源：潜在火灾。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目标：预防火灾发生。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指标：每年次数为0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5.感染新冠肺炎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重大危险源：感染新冠肺炎。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目标：预防感染新冠肺炎。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指标：每年次数为0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提供《环境职业健康安全管理方案》中已经包含了：具体工作内容、需要资源财力、负责人、完成时间节点、包括用于监视的参数的结果评价方式、措施在其业务过程中的应用情况；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抽查1条环境及职业健康安全目标指标内容：“潜在火灾”：由项目经理负责于2021年03月05日前成立安全管理机构，并行使安全管理职能。由项目部负责于2021年03月15日前对办公区域配备漏电保护器等电器防护设备。由项目部负责于2021年03月15日前配置相应足够的消防器材。从03月开始，由项目部安全员定期（每周）检查灭火器、消防栓的状况（发生异常立即维修或更换）。由项目部安全员负责于从2021年03月01日开始，定期对设备设施进行安全检查，发现隐患及时整改，以避免火灾事故的发生。由项目部负责于04月举行一次消防演练，以后每年定期（每年一次）举行，使员工掌握消防器材的正常使用，识别消防器的正常、异常，及懂得正确地组织人群逃生。项目部安全员通过巡视检查维护好重要区域所设置的紧急出口指示，即使发生异常也能让现场人员找到逃生通路。由项目部负责于03月01前负责从公司行政部获得《应急联络表》（包括对内、对外联络表）发放各部门，与火警有关的任何信息应根据《应急联络表》通过对讲和手机方式以最快的速度传递到保安组长和物业管理部主任，以便现场查看或指挥。由项目部负责于2021年04月01日前制定应急救援预案，建立和培训义务消防队员并定期演练；项目部不定期张贴公告，号召全员增强火灾防范意识——查组织已经保持并保留职业健康安全目标和实现目标的计划的文件化信息；文件有编审批受控、更新日期2021.2.1；</w:t>
            </w:r>
          </w:p>
        </w:tc>
        <w:tc>
          <w:tcPr>
            <w:tcW w:w="158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运行策划和控制</w:t>
            </w:r>
          </w:p>
          <w:p>
            <w:pPr>
              <w:rPr>
                <w:rFonts w:hint="eastAsia" w:ascii="宋体" w:hAnsi="宋体" w:eastAsia="宋体" w:cs="宋体"/>
                <w:sz w:val="24"/>
                <w:lang w:val="en-US" w:eastAsia="zh-CN"/>
              </w:rPr>
            </w:pPr>
            <w:r>
              <w:rPr>
                <w:rFonts w:hint="eastAsia" w:ascii="宋体" w:hAnsi="宋体" w:eastAsia="宋体" w:cs="宋体"/>
                <w:sz w:val="24"/>
                <w:lang w:val="en-US" w:eastAsia="zh-CN"/>
              </w:rPr>
              <w:t>变更管理</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总则</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承包商</w:t>
            </w:r>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外包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p>
        </w:tc>
        <w:tc>
          <w:tcPr>
            <w:tcW w:w="960"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8.1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8.1.3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8.1.4</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8.1.4.1</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8.1.4.2 </w:t>
            </w:r>
            <w:r>
              <w:rPr>
                <w:rFonts w:hint="eastAsia" w:ascii="宋体" w:hAnsi="宋体" w:eastAsia="宋体" w:cs="宋体"/>
                <w:color w:val="000000"/>
                <w:sz w:val="24"/>
                <w:szCs w:val="24"/>
                <w:lang w:val="en-US" w:eastAsia="zh-CN"/>
              </w:rPr>
              <w:t xml:space="preserve"> 8.1.4.3 </w:t>
            </w:r>
          </w:p>
          <w:p>
            <w:pPr>
              <w:jc w:val="left"/>
              <w:rPr>
                <w:rFonts w:hint="eastAsia" w:ascii="宋体" w:hAnsi="宋体" w:eastAsia="宋体" w:cs="宋体"/>
                <w:color w:val="000000"/>
                <w:sz w:val="24"/>
                <w:szCs w:val="24"/>
                <w:lang w:val="en-US" w:eastAsia="zh-CN"/>
              </w:rPr>
            </w:pPr>
          </w:p>
        </w:tc>
        <w:tc>
          <w:tcPr>
            <w:tcW w:w="10004"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办公室区域：生活污水排放；</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噪声：办公现场不产生明显噪声。</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固废：固体废物主要是办公产生废纸张等，配置了纸篓；办公用纸由行政部负责，复印、打印耗材都有行政统一负责，集中处置。</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现场查看办公区域，整洁、光线充足、室内空气良好、配置有空调，办公条件较好，办公设备安全状态良好，教育员工正确使用办公设备，现场用电基本规范，无乱拉线现象，防止火灾发生。</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办公过程注意节约用电，做到人走灯灭，电脑长时间不用时关机，下班前要关闭电源，防止触电。</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办公区域禁止吸烟，现场查看办公区域环境整洁、宽敞、办公设备状态良好、无安全隐患，办公区域配备有效的干粉灭火器。</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工作时间平均每天不超过8小时；</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现场查看办公区域配备符合要求的消防设施；</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相关方施加影响：公司能够控制或能够施加影响的相关方有顾客等。提供了“致相关方的公开信”，将公司的环境/安全控制要求发放到了所有相关方:运输公司\供应商\外来员工等</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驾驶员要求遵守道路交通安全法规，不违章驾车，驾驶证和车辆定期年审，确保行车安全。</w:t>
            </w:r>
          </w:p>
          <w:p>
            <w:pPr>
              <w:jc w:val="left"/>
              <w:rPr>
                <w:rFonts w:hint="eastAsia" w:ascii="宋体" w:hAnsi="宋体" w:eastAsia="宋体" w:cs="宋体"/>
                <w:color w:val="000000"/>
                <w:sz w:val="24"/>
                <w:szCs w:val="24"/>
                <w:lang w:val="en-US" w:eastAsia="zh-CN"/>
              </w:rPr>
            </w:pPr>
          </w:p>
          <w:p>
            <w:pPr>
              <w:jc w:val="left"/>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采购：</w:t>
            </w:r>
            <w:r>
              <w:rPr>
                <w:rFonts w:hint="eastAsia" w:ascii="宋体" w:hAnsi="宋体" w:eastAsia="宋体" w:cs="宋体"/>
                <w:color w:val="000000"/>
                <w:sz w:val="24"/>
                <w:szCs w:val="24"/>
                <w:lang w:val="en-US" w:eastAsia="zh-CN"/>
              </w:rPr>
              <w:t>提供《采购产品环保安全性能要求》</w:t>
            </w:r>
            <w:r>
              <w:rPr>
                <w:rFonts w:hint="eastAsia" w:ascii="宋体" w:hAnsi="宋体" w:eastAsia="宋体" w:cs="宋体"/>
                <w:color w:val="000000"/>
                <w:sz w:val="24"/>
                <w:szCs w:val="24"/>
              </w:rPr>
              <w:t>有安全性能要求的采购产品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选料，尽可能选用正规厂家生产的产品。优先选用已通过ISO9000质量管理体系、ISO14000环境管理体系及</w:t>
            </w:r>
            <w:r>
              <w:rPr>
                <w:rFonts w:hint="eastAsia" w:ascii="宋体" w:hAnsi="宋体" w:eastAsia="宋体" w:cs="宋体"/>
                <w:color w:val="000000"/>
                <w:sz w:val="24"/>
                <w:szCs w:val="24"/>
                <w:lang w:val="en-US" w:eastAsia="zh-CN"/>
              </w:rPr>
              <w:t>ISO45001</w:t>
            </w:r>
            <w:r>
              <w:rPr>
                <w:rFonts w:hint="eastAsia" w:ascii="宋体" w:hAnsi="宋体" w:eastAsia="宋体" w:cs="宋体"/>
                <w:color w:val="000000"/>
                <w:sz w:val="24"/>
                <w:szCs w:val="24"/>
              </w:rPr>
              <w:t>职业健康安全管理体系认证的企业的产品。在排除其他因素的情况下，优先选用名牌产品，包括国内及国际名牌。积极选用新材料。</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索取证明材料，可行时，要求厂家提供有关安全性能的测试报告，如噪声测试数据，辐射测试数据，有害成分测试数据，安全性能测试数据等。</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对相关方施加影响，向相关方发出致相关方一封信，建议相关方按公司要求，控制有关安全性能。公司进行测试，可行时，公司组织对采购产品进行有关安全性能的测试。不合格产品拒绝进货。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记录的控制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有供方提供的有关资质及证明材料将归入供方档案统一管理。</w:t>
            </w:r>
          </w:p>
          <w:p>
            <w:pPr>
              <w:jc w:val="left"/>
              <w:rPr>
                <w:rFonts w:hint="eastAsia" w:ascii="宋体" w:hAnsi="宋体" w:eastAsia="宋体" w:cs="宋体"/>
                <w:color w:val="000000"/>
                <w:sz w:val="24"/>
                <w:szCs w:val="24"/>
                <w:lang w:val="en-US" w:eastAsia="zh-CN"/>
              </w:rPr>
            </w:pPr>
          </w:p>
          <w:p>
            <w:pPr>
              <w:jc w:val="left"/>
              <w:rPr>
                <w:rFonts w:hint="eastAsia" w:ascii="宋体" w:hAnsi="宋体" w:eastAsia="宋体" w:cs="宋体"/>
                <w:color w:val="000000"/>
                <w:sz w:val="24"/>
                <w:szCs w:val="24"/>
                <w:lang w:val="en-US" w:eastAsia="zh-CN"/>
              </w:rPr>
            </w:pP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供方安全环保协议</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双方本着“互惠互利、共同发展、预防污染、减少事故”的原则，为确保乙方给甲方提供的建筑材料或服务中减少对环境的污染、减少安全事故的发生，特签订本协议：</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乙方在生产甲方需要的建筑材料时，应满足如下要求：</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乙方提供给甲方的建筑材料以及生产该建筑材料的原材料必须满足国家、地方、行业的有关环境保护和职业健康安全方面的法律、法规的要求。</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乙方在保证甲方要求的建筑材料质量条件下，要求优先考虑采用无污染或少污染的安全生产工艺及安全设备，不能采用国家或地方已禁止使用的生产工艺或设备。</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乙方在生产给甲方的建筑材料过程中排放的超标污染物（废水、废气、固废、噪声等）必须积极采取措施治理，制订切实可行的计划，在规定期限内达到国家或地方的排放标准。 乙方在建筑材料的包装上（必要时），除满足甲方及搬运等要求外，应优先采用可回收利用的安全包装材料，避免资源浪费。</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乙方对生产过程中的危险物品以及危险废弃物堆放场地应设立明显识别标志。</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乙方应防止作业环境因跑、冒、滴、漏污染环境</w:t>
            </w:r>
            <w:r>
              <w:rPr>
                <w:rFonts w:hint="eastAsia" w:ascii="宋体" w:hAnsi="宋体" w:eastAsia="宋体" w:cs="宋体"/>
                <w:color w:val="000000"/>
                <w:sz w:val="24"/>
                <w:szCs w:val="24"/>
                <w:lang w:val="en-US" w:eastAsia="zh-CN"/>
              </w:rPr>
              <w:t xml:space="preserve">等； </w:t>
            </w:r>
            <w:r>
              <w:rPr>
                <w:rFonts w:hint="eastAsia" w:ascii="宋体" w:hAnsi="宋体" w:eastAsia="宋体" w:cs="宋体"/>
                <w:color w:val="000000"/>
                <w:sz w:val="24"/>
                <w:szCs w:val="24"/>
              </w:rPr>
              <w:t>生，如何采取应急措施，减少污染。</w:t>
            </w:r>
            <w:r>
              <w:rPr>
                <w:rFonts w:hint="eastAsia" w:ascii="宋体" w:hAnsi="宋体" w:eastAsia="宋体" w:cs="宋体"/>
                <w:color w:val="000000"/>
                <w:sz w:val="24"/>
                <w:szCs w:val="24"/>
                <w:lang w:val="en-US" w:eastAsia="zh-CN"/>
              </w:rPr>
              <w:t xml:space="preserve"> </w:t>
            </w:r>
          </w:p>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lang w:eastAsia="zh-CN"/>
              </w:rPr>
              <w:t>供应商职业安全卫生调查表</w:t>
            </w:r>
            <w:r>
              <w:rPr>
                <w:rFonts w:hint="eastAsia" w:ascii="宋体" w:hAnsi="宋体" w:eastAsia="宋体" w:cs="宋体"/>
                <w:color w:val="000000"/>
                <w:sz w:val="24"/>
                <w:szCs w:val="24"/>
                <w:lang w:val="en-US" w:eastAsia="zh-CN"/>
              </w:rPr>
              <w:t>》包括“</w:t>
            </w:r>
            <w:r>
              <w:rPr>
                <w:rFonts w:hint="eastAsia" w:ascii="宋体" w:hAnsi="宋体" w:eastAsia="宋体" w:cs="宋体"/>
                <w:color w:val="000000"/>
                <w:sz w:val="24"/>
                <w:szCs w:val="24"/>
                <w:lang w:eastAsia="zh-CN"/>
              </w:rPr>
              <w:t>我们公司为实施在本公司的安全卫生方针中“</w:t>
            </w:r>
            <w:r>
              <w:rPr>
                <w:rFonts w:hint="eastAsia" w:ascii="宋体" w:hAnsi="宋体" w:eastAsia="宋体" w:cs="宋体"/>
                <w:color w:val="000000"/>
                <w:sz w:val="24"/>
                <w:szCs w:val="24"/>
              </w:rPr>
              <w:t>遵守法规   维护健康  确保安全  全员参与   预防为主  持续改进</w:t>
            </w:r>
            <w:r>
              <w:rPr>
                <w:rFonts w:hint="eastAsia" w:ascii="宋体" w:hAnsi="宋体" w:eastAsia="宋体" w:cs="宋体"/>
                <w:color w:val="000000"/>
                <w:sz w:val="24"/>
                <w:szCs w:val="24"/>
                <w:lang w:eastAsia="zh-CN"/>
              </w:rPr>
              <w:t>”承诺，也为了促进我们供应链上的各供应商更加关注职业安全卫生，以完善我们公司的职业健康安全管理体系。请仔细填写下面资料，并于一周内返回本公司。若今后贵司规模扩大，有新设备购入及新厂房建筑等情</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况时，请及时通知我司以便作进一歩交流</w:t>
            </w:r>
            <w:r>
              <w:rPr>
                <w:rFonts w:hint="eastAsia" w:ascii="宋体" w:hAnsi="宋体" w:eastAsia="宋体" w:cs="宋体"/>
                <w:color w:val="000000"/>
                <w:sz w:val="24"/>
                <w:szCs w:val="24"/>
                <w:lang w:val="en-US" w:eastAsia="zh-CN"/>
              </w:rPr>
              <w:t>”等信息；</w:t>
            </w:r>
          </w:p>
          <w:p>
            <w:pPr>
              <w:jc w:val="left"/>
              <w:rPr>
                <w:rFonts w:hint="eastAsia" w:ascii="宋体" w:hAnsi="宋体" w:eastAsia="宋体" w:cs="宋体"/>
                <w:color w:val="000000"/>
                <w:sz w:val="24"/>
                <w:szCs w:val="24"/>
                <w:lang w:eastAsia="zh-CN"/>
              </w:rPr>
            </w:pP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审核企业近一年变更情况：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存在——新的产品、服务和过程，或对现有产品、服务和过程的变更，包括：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（1）工作场所的位置和周边环境；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（2）工作组织；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（3）工作条件；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（4）设备；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（5）劳动力；</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2.法律法规要求和其他要求的变更；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3.有关危险源和职业健康安全风险的知识或信息的变更；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4.知识和技术的发展。</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——查上述变更的非预期性变更的后果的评审文件，其中为减轻任何不利影响采取措施是不断更新相关知识和法律法规的收集更新、宣贯培训及实施落实；</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变更可带来风险和机遇——存在并经过评审、提供风险机遇清单、检查文件已经进行了更新、符合规规定；</w:t>
            </w:r>
          </w:p>
          <w:p>
            <w:pPr>
              <w:jc w:val="left"/>
              <w:rPr>
                <w:rFonts w:hint="eastAsia" w:ascii="宋体" w:hAnsi="宋体" w:eastAsia="宋体" w:cs="宋体"/>
                <w:color w:val="000000"/>
                <w:sz w:val="24"/>
                <w:szCs w:val="24"/>
                <w:lang w:val="en-US" w:eastAsia="zh-CN"/>
              </w:rPr>
            </w:pP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查组织编制了有关职业健康安全体系涉及的对采购过程的相关要求和规定（含程序文件）、对承包商选择、评价、再选择的要求中包含了对“职业健康安全绩效”要求的信息；</w:t>
            </w:r>
          </w:p>
          <w:p>
            <w:pPr>
              <w:jc w:val="left"/>
              <w:rPr>
                <w:rFonts w:hint="default" w:ascii="宋体" w:hAnsi="宋体" w:eastAsia="宋体" w:cs="宋体"/>
                <w:color w:val="000000"/>
                <w:sz w:val="24"/>
                <w:szCs w:val="24"/>
                <w:lang w:val="en-US" w:eastAsia="zh-CN"/>
              </w:rPr>
            </w:pP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与承包方相关的危险源清单其中包含对职业健康安全风险评价和控制的信息、具体见《危险源辨识及职业健康安全风险评价控制一览表》、其中：对本组织造成影响的承包商的活动和运行涉及的危险源、对承包方工作人员造成影响的本组织的活动和运行涉及的危险源、对本组织工作场所内给其他相关方的造成影响的承包方的活动和运行涉及的危险源；</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查《合格供方评定表》其中包含的“职业健康安全准则”内容及评价结果，对其</w:t>
            </w:r>
            <w:r>
              <w:rPr>
                <w:rFonts w:hint="eastAsia" w:ascii="宋体" w:hAnsi="宋体" w:eastAsia="宋体" w:cs="宋体"/>
                <w:color w:val="000000"/>
                <w:sz w:val="24"/>
                <w:szCs w:val="24"/>
              </w:rPr>
              <w:t>评估、监视和定期重新评估承包方的职业健康安全绩效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同年度确认</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信息</w:t>
            </w:r>
            <w:r>
              <w:rPr>
                <w:rFonts w:hint="eastAsia" w:ascii="宋体" w:hAnsi="宋体" w:eastAsia="宋体" w:cs="宋体"/>
                <w:color w:val="000000"/>
                <w:sz w:val="24"/>
                <w:szCs w:val="24"/>
                <w:lang w:eastAsia="zh-CN"/>
              </w:rPr>
              <w:t>；</w:t>
            </w:r>
          </w:p>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查《采购合同》包含承包方的资质和安全生产条件，和承包方签订的《安全生产协议》或在合同中的相关约定；</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查组织的外包方包括</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物料采购</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p>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其中涉及职业健康安全方面的控制类型和控制程度具体</w:t>
            </w:r>
            <w:r>
              <w:rPr>
                <w:rFonts w:hint="eastAsia" w:ascii="宋体" w:hAnsi="宋体" w:eastAsia="宋体" w:cs="宋体"/>
                <w:color w:val="000000"/>
                <w:sz w:val="24"/>
                <w:szCs w:val="24"/>
                <w:u w:val="single"/>
                <w:lang w:eastAsia="zh-CN"/>
              </w:rPr>
              <w:t>(建筑材料、构配件和设备)</w:t>
            </w:r>
            <w:r>
              <w:rPr>
                <w:rFonts w:hint="eastAsia" w:ascii="宋体" w:hAnsi="宋体" w:eastAsia="宋体" w:cs="宋体"/>
                <w:color w:val="000000"/>
                <w:sz w:val="24"/>
                <w:szCs w:val="24"/>
                <w:lang w:val="en-US" w:eastAsia="zh-CN"/>
              </w:rPr>
              <w:t>等；另根据法律法规要求对</w:t>
            </w:r>
            <w:r>
              <w:rPr>
                <w:rFonts w:hint="eastAsia" w:ascii="宋体" w:hAnsi="宋体" w:eastAsia="宋体" w:cs="宋体"/>
                <w:color w:val="000000"/>
                <w:sz w:val="24"/>
                <w:szCs w:val="24"/>
              </w:rPr>
              <w:t>货物、设备和服务的采购</w:t>
            </w:r>
            <w:r>
              <w:rPr>
                <w:rFonts w:hint="eastAsia" w:ascii="宋体" w:hAnsi="宋体" w:eastAsia="宋体" w:cs="宋体"/>
                <w:color w:val="000000"/>
                <w:sz w:val="24"/>
                <w:szCs w:val="24"/>
                <w:lang w:eastAsia="zh-CN"/>
              </w:rPr>
              <w:t>：</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对所采购货物、设备和服务的职业健康安全的要求；</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就组织自己的职业健康安全要求向供方沟通；</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采购或运输、转移危险化学品、材料和物质的事先批准要求；</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采购新机械和设备的事先批准要求和规范；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机械和设备使用前安全运行程序的事先批准，和（或）物质使用前安全处理程序的事先批准；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供方的选择和监视；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对所接受的货物、设备和服务的检查，以及对其职业健康安全绩效的验证（定期验证）</w:t>
            </w:r>
            <w:r>
              <w:rPr>
                <w:rFonts w:hint="eastAsia" w:ascii="宋体" w:hAnsi="宋体" w:eastAsia="宋体" w:cs="宋体"/>
                <w:color w:val="000000"/>
                <w:sz w:val="24"/>
                <w:szCs w:val="24"/>
                <w:lang w:eastAsia="zh-CN"/>
              </w:rPr>
              <w:t>；</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对新设施职业健康安全的设计的批准；</w:t>
            </w:r>
          </w:p>
          <w:p>
            <w:pPr>
              <w:jc w:val="left"/>
              <w:rPr>
                <w:rFonts w:hint="eastAsia" w:ascii="宋体" w:hAnsi="宋体" w:eastAsia="宋体" w:cs="宋体"/>
                <w:color w:val="000000"/>
                <w:sz w:val="24"/>
                <w:szCs w:val="24"/>
                <w:lang w:eastAsia="zh-CN"/>
              </w:rPr>
            </w:pPr>
          </w:p>
          <w:p>
            <w:pPr>
              <w:jc w:val="left"/>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财务：</w:t>
            </w:r>
            <w:r>
              <w:rPr>
                <w:rFonts w:hint="eastAsia" w:ascii="宋体" w:hAnsi="宋体" w:eastAsia="宋体" w:cs="宋体"/>
                <w:color w:val="000000"/>
                <w:sz w:val="24"/>
                <w:szCs w:val="24"/>
                <w:lang w:val="en-US" w:eastAsia="zh-CN"/>
              </w:rPr>
              <w:t>查2020年至今、组织用于支付环保和安全相关（劳保用品、消防用品）的费用总计31550.00元；另抽查组织社保情况（2021.3.~4.）内容符合规定；</w:t>
            </w:r>
          </w:p>
        </w:tc>
        <w:tc>
          <w:tcPr>
            <w:tcW w:w="158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p>
        </w:tc>
      </w:tr>
    </w:tbl>
    <w:p>
      <w: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2031F8F"/>
    <w:rsid w:val="034C51C5"/>
    <w:rsid w:val="0562705E"/>
    <w:rsid w:val="09760BC6"/>
    <w:rsid w:val="09981E28"/>
    <w:rsid w:val="09F551AB"/>
    <w:rsid w:val="0A8A6BA7"/>
    <w:rsid w:val="0B23277A"/>
    <w:rsid w:val="0D4B69C7"/>
    <w:rsid w:val="0DBD37C1"/>
    <w:rsid w:val="0EEF4590"/>
    <w:rsid w:val="0F3468D0"/>
    <w:rsid w:val="0F997E93"/>
    <w:rsid w:val="104D1619"/>
    <w:rsid w:val="108219C2"/>
    <w:rsid w:val="10DE7C48"/>
    <w:rsid w:val="11D6584F"/>
    <w:rsid w:val="11FA19CC"/>
    <w:rsid w:val="120D3A2D"/>
    <w:rsid w:val="133D311B"/>
    <w:rsid w:val="133E7CE9"/>
    <w:rsid w:val="15371138"/>
    <w:rsid w:val="15453FFB"/>
    <w:rsid w:val="165737A4"/>
    <w:rsid w:val="178A5CE8"/>
    <w:rsid w:val="181E4E80"/>
    <w:rsid w:val="199E08F9"/>
    <w:rsid w:val="1A091769"/>
    <w:rsid w:val="1ABA03CF"/>
    <w:rsid w:val="1B1D2677"/>
    <w:rsid w:val="1B5D1D69"/>
    <w:rsid w:val="1C6463CC"/>
    <w:rsid w:val="1CAB31FB"/>
    <w:rsid w:val="1D390463"/>
    <w:rsid w:val="1D3C6D23"/>
    <w:rsid w:val="1D8E5A11"/>
    <w:rsid w:val="1DA36BB1"/>
    <w:rsid w:val="1DDC16CB"/>
    <w:rsid w:val="1E290899"/>
    <w:rsid w:val="22073838"/>
    <w:rsid w:val="225474FE"/>
    <w:rsid w:val="231F2396"/>
    <w:rsid w:val="23237352"/>
    <w:rsid w:val="232665D9"/>
    <w:rsid w:val="248A4DCD"/>
    <w:rsid w:val="25F60562"/>
    <w:rsid w:val="26E62F85"/>
    <w:rsid w:val="28F84E08"/>
    <w:rsid w:val="29755C6A"/>
    <w:rsid w:val="2B356A43"/>
    <w:rsid w:val="2B4771B2"/>
    <w:rsid w:val="2BB1558C"/>
    <w:rsid w:val="2CD94080"/>
    <w:rsid w:val="2D7A0BE8"/>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2E76F3C"/>
    <w:rsid w:val="43542F66"/>
    <w:rsid w:val="43A439C8"/>
    <w:rsid w:val="44B81226"/>
    <w:rsid w:val="45AA1E1F"/>
    <w:rsid w:val="462D7215"/>
    <w:rsid w:val="46A47E45"/>
    <w:rsid w:val="47230452"/>
    <w:rsid w:val="49586EA8"/>
    <w:rsid w:val="49822AC3"/>
    <w:rsid w:val="4AAE01A4"/>
    <w:rsid w:val="4BCD6209"/>
    <w:rsid w:val="4C9F0F11"/>
    <w:rsid w:val="4DCB6A41"/>
    <w:rsid w:val="4EA95B28"/>
    <w:rsid w:val="51107B5F"/>
    <w:rsid w:val="51562946"/>
    <w:rsid w:val="5174074F"/>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5433761"/>
    <w:rsid w:val="667D28CD"/>
    <w:rsid w:val="66956685"/>
    <w:rsid w:val="66E53581"/>
    <w:rsid w:val="67D077E9"/>
    <w:rsid w:val="69580BEE"/>
    <w:rsid w:val="6A2073A9"/>
    <w:rsid w:val="6A545B3D"/>
    <w:rsid w:val="6A675D38"/>
    <w:rsid w:val="6D9020D6"/>
    <w:rsid w:val="6EA36731"/>
    <w:rsid w:val="6F611BF9"/>
    <w:rsid w:val="6FE16B9E"/>
    <w:rsid w:val="707E7B4E"/>
    <w:rsid w:val="718314ED"/>
    <w:rsid w:val="74421025"/>
    <w:rsid w:val="748B1532"/>
    <w:rsid w:val="753B6A83"/>
    <w:rsid w:val="755B24E3"/>
    <w:rsid w:val="76920644"/>
    <w:rsid w:val="7738099C"/>
    <w:rsid w:val="77557E3E"/>
    <w:rsid w:val="77A81EE5"/>
    <w:rsid w:val="77B06974"/>
    <w:rsid w:val="77DC4E7F"/>
    <w:rsid w:val="7A041EA6"/>
    <w:rsid w:val="7B5F59D7"/>
    <w:rsid w:val="7BC32F24"/>
    <w:rsid w:val="7C721DEE"/>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b/>
      <w:bCs/>
      <w:sz w:val="24"/>
      <w:szCs w:val="18"/>
    </w:rPr>
  </w:style>
  <w:style w:type="paragraph" w:styleId="4">
    <w:name w:val="heading 2"/>
    <w:basedOn w:val="1"/>
    <w:next w:val="1"/>
    <w:qFormat/>
    <w:uiPriority w:val="0"/>
    <w:pPr>
      <w:keepNext/>
      <w:ind w:firstLine="1027" w:firstLineChars="497"/>
      <w:outlineLvl w:val="1"/>
    </w:pPr>
    <w:rPr>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unhideWhenUsed/>
    <w:qFormat/>
    <w:uiPriority w:val="0"/>
    <w:pPr>
      <w:spacing w:after="120"/>
    </w:pPr>
  </w:style>
  <w:style w:type="paragraph" w:styleId="6">
    <w:name w:val="Plain Text"/>
    <w:basedOn w:val="1"/>
    <w:link w:val="19"/>
    <w:qFormat/>
    <w:uiPriority w:val="0"/>
    <w:rPr>
      <w:rFonts w:ascii="宋体" w:hAnsi="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2"/>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pPr>
      <w:widowControl/>
      <w:spacing w:after="160" w:line="240" w:lineRule="exact"/>
      <w:jc w:val="left"/>
    </w:pPr>
  </w:style>
  <w:style w:type="paragraph" w:styleId="18">
    <w:name w:val="List Paragraph"/>
    <w:basedOn w:val="1"/>
    <w:unhideWhenUsed/>
    <w:qFormat/>
    <w:uiPriority w:val="99"/>
    <w:pPr>
      <w:ind w:firstLine="420" w:firstLineChars="200"/>
    </w:pPr>
  </w:style>
  <w:style w:type="character" w:customStyle="1" w:styleId="19">
    <w:name w:val="纯文本 Char"/>
    <w:link w:val="6"/>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2021-07-06T05:58:08Z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5868A40B4F3844E88841EA69FFB5EEE9</vt:lpwstr>
  </property>
</Properties>
</file>