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总经办、生产部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numPr>
                <w:ilvl w:val="0"/>
                <w:numId w:val="1"/>
              </w:numPr>
              <w:ind w:left="360" w:leftChars="0"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ISO50001：2018标准6.6条款 “基础设施”的内容。</w:t>
            </w:r>
          </w:p>
          <w:p>
            <w:pPr>
              <w:pStyle w:val="2"/>
              <w:numPr>
                <w:ilvl w:val="0"/>
                <w:numId w:val="0"/>
              </w:numPr>
              <w:ind w:left="360" w:leftChars="0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2"/>
                <w:lang w:val="en-US" w:eastAsia="zh-CN" w:bidi="ar-SA"/>
              </w:rPr>
              <w:t>2、</w:t>
            </w:r>
            <w: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《GB-17167-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 xml:space="preserve">2006 </w:t>
            </w:r>
            <w: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用能单位能源计量器具配备与管理通则》</w:t>
            </w:r>
            <w: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fldChar w:fldCharType="end"/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林风英、洪俊平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了解ISO50001-2018标准6.6条款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计量设备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4"/>
                <w:lang w:val="en-US" w:eastAsia="zh-CN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4"/>
                <w:lang w:val="en-US" w:eastAsia="zh-CN"/>
              </w:rPr>
              <w:t>《GB-17167-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2006 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用能单位能源计量器具配备与管理通则》</w:t>
            </w:r>
            <w:r>
              <w:rPr>
                <w:rFonts w:hint="default" w:ascii="宋体" w:hAnsi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  <w:lang w:val="en-US" w:eastAsia="zh-CN"/>
              </w:rPr>
              <w:t>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陈俊铃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2021.6.29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6D5E5"/>
    <w:multiLevelType w:val="singleLevel"/>
    <w:tmpl w:val="E4D6D5E5"/>
    <w:lvl w:ilvl="0" w:tentative="0">
      <w:start w:val="1"/>
      <w:numFmt w:val="decimal"/>
      <w:suff w:val="space"/>
      <w:lvlText w:val="%1、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51241391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2021-07-01T02:11:53Z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ED69A369A03A4BA9B8D8656B04BDB081</vt:lpwstr>
  </property>
</Properties>
</file>