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drawing>
          <wp:inline distT="0" distB="0" distL="114300" distR="114300">
            <wp:extent cx="6391910" cy="8983980"/>
            <wp:effectExtent l="0" t="0" r="8890" b="7620"/>
            <wp:docPr id="4" name="图片 4" descr="aed6bb9407ec9bfbf8a0c47a2bb66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ed6bb9407ec9bfbf8a0c47a2bb668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91910" cy="898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drawing>
          <wp:inline distT="0" distB="0" distL="114300" distR="114300">
            <wp:extent cx="6391910" cy="8930640"/>
            <wp:effectExtent l="0" t="0" r="8890" b="10160"/>
            <wp:docPr id="5" name="图片 5" descr="6651e81028cd5cef9e1ca8d71f06e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651e81028cd5cef9e1ca8d71f06ea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91910" cy="893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300" w:firstLineChars="1100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ind w:firstLine="3300" w:firstLineChars="1100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>　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能源管理体系：初次认证第（二）阶段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  <w:bCs w:val="0"/>
                <w:kern w:val="2"/>
                <w:sz w:val="21"/>
                <w:szCs w:val="24"/>
                <w:lang w:val="en-US" w:eastAsia="zh-CN" w:bidi="ar-SA"/>
              </w:rPr>
            </w:pPr>
            <w:bookmarkStart w:id="4" w:name="组织名称"/>
            <w:r>
              <w:rPr>
                <w:rFonts w:hint="eastAsia" w:ascii="方正仿宋简体" w:hAnsi="Times New Roman" w:eastAsia="方正仿宋简体" w:cs="Times New Roman"/>
                <w:b/>
                <w:bCs w:val="0"/>
                <w:kern w:val="2"/>
                <w:sz w:val="21"/>
                <w:szCs w:val="24"/>
                <w:lang w:val="en-US" w:eastAsia="zh-CN" w:bidi="ar-SA"/>
              </w:rPr>
              <w:t>福建大方睡眠科技股份有限公司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林风英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 w:val="0"/>
                <w:kern w:val="2"/>
                <w:sz w:val="21"/>
                <w:szCs w:val="24"/>
                <w:lang w:val="en-US" w:eastAsia="zh-CN" w:bidi="ar-SA"/>
              </w:rPr>
              <w:t>不符合事实描述:经检查，公司的主要能源计量设备电</w:t>
            </w:r>
            <w:r>
              <w:rPr>
                <w:rFonts w:hint="eastAsia" w:ascii="方正仿宋简体" w:eastAsia="方正仿宋简体" w:cs="Times New Roman"/>
                <w:b/>
                <w:bCs w:val="0"/>
                <w:kern w:val="2"/>
                <w:sz w:val="21"/>
                <w:szCs w:val="24"/>
                <w:lang w:val="en-US" w:eastAsia="zh-CN" w:bidi="ar-SA"/>
              </w:rPr>
              <w:t>能</w:t>
            </w:r>
            <w:r>
              <w:rPr>
                <w:rFonts w:hint="eastAsia" w:ascii="方正仿宋简体" w:hAnsi="Times New Roman" w:eastAsia="方正仿宋简体" w:cs="Times New Roman"/>
                <w:b/>
                <w:bCs w:val="0"/>
                <w:kern w:val="2"/>
                <w:sz w:val="21"/>
                <w:szCs w:val="24"/>
                <w:lang w:val="en-US" w:eastAsia="zh-CN" w:bidi="ar-SA"/>
              </w:rPr>
              <w:t>表只有一块进户表，各车间没有安装电</w:t>
            </w:r>
            <w:r>
              <w:rPr>
                <w:rFonts w:hint="eastAsia" w:ascii="方正仿宋简体" w:eastAsia="方正仿宋简体" w:cs="Times New Roman"/>
                <w:b/>
                <w:bCs w:val="0"/>
                <w:kern w:val="2"/>
                <w:sz w:val="21"/>
                <w:szCs w:val="24"/>
                <w:lang w:val="en-US" w:eastAsia="zh-CN" w:bidi="ar-SA"/>
              </w:rPr>
              <w:t>能</w:t>
            </w:r>
            <w:r>
              <w:rPr>
                <w:rFonts w:hint="eastAsia" w:ascii="方正仿宋简体" w:hAnsi="Times New Roman" w:eastAsia="方正仿宋简体" w:cs="Times New Roman"/>
                <w:b/>
                <w:bCs w:val="0"/>
                <w:kern w:val="2"/>
                <w:sz w:val="21"/>
                <w:szCs w:val="24"/>
                <w:lang w:val="en-US" w:eastAsia="zh-CN" w:bidi="ar-SA"/>
              </w:rPr>
              <w:t>表。不符合</w:t>
            </w:r>
            <w:r>
              <w:rPr>
                <w:rFonts w:hint="default" w:ascii="方正仿宋简体" w:hAnsi="Times New Roman" w:eastAsia="方正仿宋简体" w:cs="Times New Roman"/>
                <w:b/>
                <w:bCs w:val="0"/>
                <w:kern w:val="2"/>
                <w:sz w:val="21"/>
                <w:szCs w:val="24"/>
                <w:lang w:val="en-US" w:eastAsia="zh-CN" w:bidi="ar-SA"/>
              </w:rPr>
              <w:fldChar w:fldCharType="begin"/>
            </w:r>
            <w:r>
              <w:rPr>
                <w:rFonts w:hint="default" w:ascii="方正仿宋简体" w:hAnsi="Times New Roman" w:eastAsia="方正仿宋简体" w:cs="Times New Roman"/>
                <w:b/>
                <w:bCs w:val="0"/>
                <w:kern w:val="2"/>
                <w:sz w:val="21"/>
                <w:szCs w:val="24"/>
                <w:lang w:val="en-US" w:eastAsia="zh-CN" w:bidi="ar-SA"/>
              </w:rPr>
              <w:instrText xml:space="preserve"> HYPERLINK "https://www.so.com/link?m=bb16WN6Uv+iyedO532jnO/eY/HBEXnZ1DEZ0U50C3YYQFlCKHC9qFi3texdFZDoFeiX3fjnmXmJHNYqQ2Kme1kKFB4AeB6izclwbb6MDL9tzFFdTy7wFFCvB6e+p0SruWgJD50iY28PQPbslRADX/IFqZ0jwvJ7GDVUToeI+XhflF5WTu" \t "https://www.so.com/_blank" </w:instrText>
            </w:r>
            <w:r>
              <w:rPr>
                <w:rFonts w:hint="default" w:ascii="方正仿宋简体" w:hAnsi="Times New Roman" w:eastAsia="方正仿宋简体" w:cs="Times New Roman"/>
                <w:b/>
                <w:bCs w:val="0"/>
                <w:kern w:val="2"/>
                <w:sz w:val="21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default" w:ascii="方正仿宋简体" w:hAnsi="Times New Roman" w:eastAsia="方正仿宋简体" w:cs="Times New Roman"/>
                <w:b/>
                <w:bCs w:val="0"/>
                <w:kern w:val="2"/>
                <w:sz w:val="21"/>
                <w:szCs w:val="24"/>
                <w:lang w:val="en-US" w:eastAsia="zh-CN" w:bidi="ar-SA"/>
              </w:rPr>
              <w:t>《GB17167-</w:t>
            </w:r>
            <w:r>
              <w:rPr>
                <w:rFonts w:hint="eastAsia" w:ascii="方正仿宋简体" w:eastAsia="方正仿宋简体" w:cs="Times New Roman"/>
                <w:b/>
                <w:bCs w:val="0"/>
                <w:kern w:val="2"/>
                <w:sz w:val="21"/>
                <w:szCs w:val="24"/>
                <w:lang w:val="en-US" w:eastAsia="zh-CN" w:bidi="ar-SA"/>
              </w:rPr>
              <w:t xml:space="preserve">2006 </w:t>
            </w:r>
            <w:r>
              <w:rPr>
                <w:rFonts w:hint="default" w:ascii="方正仿宋简体" w:hAnsi="Times New Roman" w:eastAsia="方正仿宋简体" w:cs="Times New Roman"/>
                <w:b/>
                <w:bCs w:val="0"/>
                <w:kern w:val="2"/>
                <w:sz w:val="21"/>
                <w:szCs w:val="24"/>
                <w:lang w:val="en-US" w:eastAsia="zh-CN" w:bidi="ar-SA"/>
              </w:rPr>
              <w:t>用能单位能源计量器具配备与管理通则》</w:t>
            </w:r>
            <w:r>
              <w:rPr>
                <w:rFonts w:hint="default" w:ascii="方正仿宋简体" w:hAnsi="Times New Roman" w:eastAsia="方正仿宋简体" w:cs="Times New Roman"/>
                <w:b/>
                <w:bCs w:val="0"/>
                <w:kern w:val="2"/>
                <w:sz w:val="21"/>
                <w:szCs w:val="24"/>
                <w:lang w:val="en-US" w:eastAsia="zh-CN" w:bidi="ar-SA"/>
              </w:rPr>
              <w:fldChar w:fldCharType="end"/>
            </w:r>
            <w:r>
              <w:rPr>
                <w:rFonts w:hint="eastAsia" w:ascii="方正仿宋简体" w:eastAsia="方正仿宋简体" w:cs="Times New Roman"/>
                <w:b/>
                <w:bCs w:val="0"/>
                <w:kern w:val="2"/>
                <w:sz w:val="21"/>
                <w:szCs w:val="24"/>
                <w:lang w:val="en-US" w:eastAsia="zh-CN" w:bidi="ar-SA"/>
              </w:rPr>
              <w:t>的要求</w:t>
            </w:r>
            <w:r>
              <w:rPr>
                <w:rFonts w:hint="eastAsia" w:ascii="方正仿宋简体" w:hAnsi="Times New Roman" w:eastAsia="方正仿宋简体" w:cs="Times New Roman"/>
                <w:b/>
                <w:bCs w:val="0"/>
                <w:kern w:val="2"/>
                <w:sz w:val="21"/>
                <w:szCs w:val="24"/>
                <w:lang w:val="en-US" w:eastAsia="zh-CN" w:bidi="ar-SA"/>
              </w:rPr>
              <w:t>。</w:t>
            </w:r>
          </w:p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  <w:bCs w:val="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 w:val="0"/>
                <w:kern w:val="2"/>
                <w:sz w:val="21"/>
                <w:szCs w:val="24"/>
                <w:lang w:val="en-US" w:eastAsia="zh-CN" w:bidi="ar-SA"/>
              </w:rPr>
              <w:t xml:space="preserve">上述事实不符合：□ GB/T 19001:2016 idt ISO 9001:2015标准   条款 </w:t>
            </w:r>
          </w:p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 w:val="0"/>
                <w:kern w:val="2"/>
                <w:sz w:val="21"/>
                <w:szCs w:val="24"/>
                <w:lang w:val="en-US" w:eastAsia="zh-CN" w:bidi="ar-SA"/>
              </w:rPr>
              <w:t xml:space="preserve">□ GB/T 50430-2017标准   条款: </w:t>
            </w:r>
          </w:p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 w:val="0"/>
                <w:kern w:val="2"/>
                <w:sz w:val="21"/>
                <w:szCs w:val="24"/>
                <w:lang w:val="en-US" w:eastAsia="zh-CN" w:bidi="ar-SA"/>
              </w:rPr>
              <w:t>□ GB/T 24001-2016 idt ISO 14001:2015标准   条款</w:t>
            </w:r>
          </w:p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 w:val="0"/>
                <w:kern w:val="2"/>
                <w:sz w:val="21"/>
                <w:szCs w:val="24"/>
                <w:lang w:val="en-US" w:eastAsia="zh-CN" w:bidi="ar-SA"/>
              </w:rPr>
              <w:t>□ GB/T 28001-2011 idt OHSAS 18001:2007标准   条款</w:t>
            </w:r>
          </w:p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bCs w:val="0"/>
                <w:kern w:val="2"/>
                <w:sz w:val="21"/>
                <w:szCs w:val="24"/>
                <w:lang w:val="en-US" w:eastAsia="zh-CN" w:bidi="ar-SA"/>
              </w:rPr>
              <w:t>☑</w:t>
            </w:r>
            <w:r>
              <w:rPr>
                <w:rFonts w:hint="eastAsia" w:ascii="方正仿宋简体" w:hAnsi="Times New Roman" w:eastAsia="方正仿宋简体" w:cs="Times New Roman"/>
                <w:b/>
                <w:bCs w:val="0"/>
                <w:kern w:val="2"/>
                <w:sz w:val="21"/>
                <w:szCs w:val="24"/>
                <w:lang w:val="en-US" w:eastAsia="zh-CN" w:bidi="ar-SA"/>
              </w:rPr>
              <w:t xml:space="preserve"> ISO</w:t>
            </w:r>
            <w:r>
              <w:rPr>
                <w:rFonts w:hint="eastAsia" w:ascii="方正仿宋简体" w:eastAsia="方正仿宋简体" w:cs="Times New Roman"/>
                <w:b/>
                <w:bCs w:val="0"/>
                <w:kern w:val="2"/>
                <w:sz w:val="21"/>
                <w:szCs w:val="24"/>
                <w:lang w:val="en-US" w:eastAsia="zh-CN" w:bidi="ar-SA"/>
              </w:rPr>
              <w:t>50</w:t>
            </w:r>
            <w:r>
              <w:rPr>
                <w:rFonts w:hint="eastAsia" w:ascii="方正仿宋简体" w:hAnsi="Times New Roman" w:eastAsia="方正仿宋简体" w:cs="Times New Roman"/>
                <w:b/>
                <w:bCs w:val="0"/>
                <w:kern w:val="2"/>
                <w:sz w:val="21"/>
                <w:szCs w:val="24"/>
                <w:lang w:val="en-US" w:eastAsia="zh-CN" w:bidi="ar-SA"/>
              </w:rPr>
              <w:t>001：2018标准</w:t>
            </w:r>
            <w:r>
              <w:rPr>
                <w:rFonts w:hint="eastAsia" w:ascii="方正仿宋简体" w:eastAsia="方正仿宋简体" w:cs="Times New Roman"/>
                <w:b/>
                <w:bCs w:val="0"/>
                <w:kern w:val="2"/>
                <w:sz w:val="21"/>
                <w:szCs w:val="24"/>
                <w:lang w:val="en-US" w:eastAsia="zh-CN" w:bidi="ar-SA"/>
              </w:rPr>
              <w:t>6.6</w:t>
            </w:r>
            <w:r>
              <w:rPr>
                <w:rFonts w:hint="eastAsia" w:ascii="方正仿宋简体" w:hAnsi="Times New Roman" w:eastAsia="方正仿宋简体" w:cs="Times New Roman"/>
                <w:b/>
                <w:bCs w:val="0"/>
                <w:kern w:val="2"/>
                <w:sz w:val="21"/>
                <w:szCs w:val="24"/>
                <w:lang w:val="en-US" w:eastAsia="zh-CN" w:bidi="ar-SA"/>
              </w:rPr>
              <w:t xml:space="preserve">条款相关要求 </w:t>
            </w:r>
          </w:p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  <w:bCs w:val="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 w:val="0"/>
                <w:kern w:val="2"/>
                <w:sz w:val="21"/>
                <w:szCs w:val="24"/>
                <w:lang w:val="en-US" w:eastAsia="zh-CN" w:bidi="ar-SA"/>
              </w:rPr>
              <w:t>不符合性质：□严重　　　</w:t>
            </w:r>
            <w:r>
              <w:rPr>
                <w:rFonts w:hint="eastAsia" w:ascii="方正仿宋简体" w:eastAsia="方正仿宋简体" w:cs="Times New Roman"/>
                <w:b/>
                <w:bCs w:val="0"/>
                <w:kern w:val="2"/>
                <w:sz w:val="21"/>
                <w:szCs w:val="24"/>
                <w:lang w:val="en-US" w:eastAsia="zh-CN" w:bidi="ar-SA"/>
              </w:rPr>
              <w:t>☑</w:t>
            </w:r>
            <w:r>
              <w:rPr>
                <w:rFonts w:hint="eastAsia" w:ascii="方正仿宋简体" w:hAnsi="Times New Roman" w:eastAsia="方正仿宋简体" w:cs="Times New Roman"/>
                <w:b/>
                <w:bCs w:val="0"/>
                <w:kern w:val="2"/>
                <w:sz w:val="21"/>
                <w:szCs w:val="24"/>
                <w:lang w:val="en-US" w:eastAsia="zh-CN" w:bidi="ar-SA"/>
              </w:rPr>
              <w:t>一般</w:t>
            </w:r>
          </w:p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  <w:bCs w:val="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 w:val="0"/>
                <w:kern w:val="2"/>
                <w:sz w:val="21"/>
                <w:szCs w:val="24"/>
                <w:lang w:val="en-US" w:eastAsia="zh-CN" w:bidi="ar-SA"/>
              </w:rPr>
              <w:t>审核员：                     审核组长：                受审核方代表：</w:t>
            </w:r>
          </w:p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 w:val="0"/>
                <w:kern w:val="2"/>
                <w:sz w:val="21"/>
                <w:szCs w:val="24"/>
                <w:lang w:val="en-US" w:eastAsia="zh-CN" w:bidi="ar-SA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</w:t>
            </w:r>
          </w:p>
          <w:p>
            <w:pPr>
              <w:spacing w:before="120" w:line="360" w:lineRule="auto"/>
              <w:ind w:firstLine="2108" w:firstLineChars="10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 w:val="0"/>
                <w:bCs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  <w:r>
              <w:rPr>
                <w:rFonts w:hint="eastAsia" w:ascii="方正仿宋简体" w:hAnsi="Times New Roman" w:eastAsia="方正仿宋简体" w:cs="Times New Roman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经检查，公司的主要能源计量设备电</w:t>
            </w:r>
            <w:r>
              <w:rPr>
                <w:rFonts w:hint="eastAsia" w:ascii="方正仿宋简体" w:eastAsia="方正仿宋简体" w:cs="Times New Roman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能</w:t>
            </w:r>
            <w:r>
              <w:rPr>
                <w:rFonts w:hint="eastAsia" w:ascii="方正仿宋简体" w:hAnsi="Times New Roman" w:eastAsia="方正仿宋简体" w:cs="Times New Roman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表只有一块进户表，各车间没有安装电</w:t>
            </w:r>
            <w:r>
              <w:rPr>
                <w:rFonts w:hint="eastAsia" w:ascii="方正仿宋简体" w:eastAsia="方正仿宋简体" w:cs="Times New Roman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能</w:t>
            </w:r>
            <w:r>
              <w:rPr>
                <w:rFonts w:hint="eastAsia" w:ascii="方正仿宋简体" w:hAnsi="Times New Roman" w:eastAsia="方正仿宋简体" w:cs="Times New Roman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表。不符合</w:t>
            </w:r>
            <w:r>
              <w:rPr>
                <w:rFonts w:hint="default" w:ascii="方正仿宋简体" w:hAnsi="Times New Roman" w:eastAsia="方正仿宋简体" w:cs="Times New Roman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fldChar w:fldCharType="begin"/>
            </w:r>
            <w:r>
              <w:rPr>
                <w:rFonts w:hint="default" w:ascii="方正仿宋简体" w:hAnsi="Times New Roman" w:eastAsia="方正仿宋简体" w:cs="Times New Roman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instrText xml:space="preserve"> HYPERLINK "https://www.so.com/link?m=bb16WN6Uv+iyedO532jnO/eY/HBEXnZ1DEZ0U50C3YYQFlCKHC9qFi3texdFZDoFeiX3fjnmXmJHNYqQ2Kme1kKFB4AeB6izclwbb6MDL9tzFFdTy7wFFCvB6e+p0SruWgJD50iY28PQPbslRADX/IFqZ0jwvJ7GDVUToeI+XhflF5WTu" \t "https://www.so.com/_blank" </w:instrText>
            </w:r>
            <w:r>
              <w:rPr>
                <w:rFonts w:hint="default" w:ascii="方正仿宋简体" w:hAnsi="Times New Roman" w:eastAsia="方正仿宋简体" w:cs="Times New Roman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default" w:ascii="方正仿宋简体" w:hAnsi="Times New Roman" w:eastAsia="方正仿宋简体" w:cs="Times New Roman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《GB17167-</w:t>
            </w:r>
            <w:r>
              <w:rPr>
                <w:rFonts w:hint="eastAsia" w:ascii="方正仿宋简体" w:eastAsia="方正仿宋简体" w:cs="Times New Roman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2006</w:t>
            </w:r>
            <w:r>
              <w:rPr>
                <w:rFonts w:hint="default" w:ascii="方正仿宋简体" w:hAnsi="Times New Roman" w:eastAsia="方正仿宋简体" w:cs="Times New Roman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用能单位能源计量器具配备与管理通则》</w:t>
            </w:r>
            <w:r>
              <w:rPr>
                <w:rFonts w:hint="default" w:ascii="方正仿宋简体" w:hAnsi="Times New Roman" w:eastAsia="方正仿宋简体" w:cs="Times New Roman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fldChar w:fldCharType="end"/>
            </w:r>
            <w:r>
              <w:rPr>
                <w:rFonts w:hint="eastAsia" w:ascii="方正仿宋简体" w:eastAsia="方正仿宋简体" w:cs="Times New Roman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的要求</w:t>
            </w:r>
            <w:r>
              <w:rPr>
                <w:rFonts w:hint="eastAsia" w:ascii="方正仿宋简体" w:hAnsi="Times New Roman" w:eastAsia="方正仿宋简体" w:cs="Times New Roman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  <w:r>
              <w:rPr>
                <w:rFonts w:hint="eastAsia" w:ascii="方正仿宋简体" w:hAnsi="Times New Roman" w:eastAsia="方正仿宋简体" w:cs="Times New Roman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对公司的次级用能单位全部配备电能表</w:t>
            </w:r>
            <w:r>
              <w:rPr>
                <w:rFonts w:hint="eastAsia" w:ascii="方正仿宋简体" w:eastAsia="方正仿宋简体" w:cs="Times New Roman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  <w:r>
              <w:rPr>
                <w:rFonts w:hint="eastAsia" w:ascii="方正仿宋简体" w:eastAsia="方正仿宋简体" w:cs="Times New Roman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相关人员对</w:t>
            </w:r>
            <w:r>
              <w:rPr>
                <w:rFonts w:hint="default" w:ascii="方正仿宋简体" w:eastAsia="方正仿宋简体" w:cs="Times New Roman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fldChar w:fldCharType="begin"/>
            </w:r>
            <w:r>
              <w:rPr>
                <w:rFonts w:hint="default" w:ascii="方正仿宋简体" w:eastAsia="方正仿宋简体" w:cs="Times New Roman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instrText xml:space="preserve"> HYPERLINK "https://www.so.com/link?m=bb16WN6Uv+iyedO532jnO/eY/HBEXnZ1DEZ0U50C3YYQFlCKHC9qFi3texdFZDoFeiX3fjnmXmJHNYqQ2Kme1kKFB4AeB6izclwbb6MDL9tzFFdTy7wFFCvB6e+p0SruWgJD50iY28PQPbslRADX/IFqZ0jwvJ7GDVUToeI+XhflF5WTu" \t "https://www.so.com/_blank" </w:instrText>
            </w:r>
            <w:r>
              <w:rPr>
                <w:rFonts w:hint="default" w:ascii="方正仿宋简体" w:eastAsia="方正仿宋简体" w:cs="Times New Roman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default" w:ascii="方正仿宋简体" w:eastAsia="方正仿宋简体" w:cs="Times New Roman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《GB17167-</w:t>
            </w:r>
            <w:r>
              <w:rPr>
                <w:rFonts w:hint="eastAsia" w:ascii="方正仿宋简体" w:eastAsia="方正仿宋简体" w:cs="Times New Roman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2006</w:t>
            </w:r>
            <w:r>
              <w:rPr>
                <w:rFonts w:hint="default" w:ascii="方正仿宋简体" w:eastAsia="方正仿宋简体" w:cs="Times New Roman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用能单位能源计量器具配备与管理通则》</w:t>
            </w:r>
            <w:r>
              <w:rPr>
                <w:rFonts w:hint="default" w:ascii="方正仿宋简体" w:eastAsia="方正仿宋简体" w:cs="Times New Roman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fldChar w:fldCharType="end"/>
            </w:r>
            <w:r>
              <w:rPr>
                <w:rFonts w:hint="eastAsia" w:ascii="方正仿宋简体" w:eastAsia="方正仿宋简体" w:cs="Times New Roman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和ISO50001-2018标准6.6条款理解不深刻。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  <w:r>
              <w:rPr>
                <w:rFonts w:hint="eastAsia" w:ascii="方正仿宋简体" w:eastAsia="方正仿宋简体" w:cs="Times New Roman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对相关人员进行培训，使其理解</w:t>
            </w:r>
            <w:r>
              <w:rPr>
                <w:rFonts w:hint="default" w:ascii="方正仿宋简体" w:eastAsia="方正仿宋简体" w:cs="Times New Roman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fldChar w:fldCharType="begin"/>
            </w:r>
            <w:r>
              <w:rPr>
                <w:rFonts w:hint="default" w:ascii="方正仿宋简体" w:eastAsia="方正仿宋简体" w:cs="Times New Roman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instrText xml:space="preserve"> HYPERLINK "https://www.so.com/link?m=bb16WN6Uv+iyedO532jnO/eY/HBEXnZ1DEZ0U50C3YYQFlCKHC9qFi3texdFZDoFeiX3fjnmXmJHNYqQ2Kme1kKFB4AeB6izclwbb6MDL9tzFFdTy7wFFCvB6e+p0SruWgJD50iY28PQPbslRADX/IFqZ0jwvJ7GDVUToeI+XhflF5WTu" \t "https://www.so.com/_blank" </w:instrText>
            </w:r>
            <w:r>
              <w:rPr>
                <w:rFonts w:hint="default" w:ascii="方正仿宋简体" w:eastAsia="方正仿宋简体" w:cs="Times New Roman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default" w:ascii="方正仿宋简体" w:eastAsia="方正仿宋简体" w:cs="Times New Roman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《GB17167-</w:t>
            </w:r>
            <w:r>
              <w:rPr>
                <w:rFonts w:hint="eastAsia" w:ascii="方正仿宋简体" w:eastAsia="方正仿宋简体" w:cs="Times New Roman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2006</w:t>
            </w:r>
            <w:r>
              <w:rPr>
                <w:rFonts w:hint="default" w:ascii="方正仿宋简体" w:eastAsia="方正仿宋简体" w:cs="Times New Roman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用能单位能源计量器具配备与管理通则》</w:t>
            </w:r>
            <w:r>
              <w:rPr>
                <w:rFonts w:hint="default" w:ascii="方正仿宋简体" w:eastAsia="方正仿宋简体" w:cs="Times New Roman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fldChar w:fldCharType="end"/>
            </w:r>
            <w:r>
              <w:rPr>
                <w:rFonts w:hint="eastAsia" w:ascii="方正仿宋简体" w:eastAsia="方正仿宋简体" w:cs="Times New Roman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和ISO50001-2018标准7.1条款。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>预定完成日期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  <w:r>
              <w:rPr>
                <w:rFonts w:hint="eastAsia" w:ascii="方正仿宋简体" w:eastAsia="方正仿宋简体" w:cs="Times New Roman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经检查，公司已经对次级用能单位（车间）配备了电能表，相关人员已经进行了</w:t>
            </w:r>
            <w:r>
              <w:rPr>
                <w:rFonts w:hint="default" w:ascii="方正仿宋简体" w:eastAsia="方正仿宋简体" w:cs="Times New Roman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fldChar w:fldCharType="begin"/>
            </w:r>
            <w:r>
              <w:rPr>
                <w:rFonts w:hint="default" w:ascii="方正仿宋简体" w:eastAsia="方正仿宋简体" w:cs="Times New Roman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instrText xml:space="preserve"> HYPERLINK "https://www.so.com/link?m=bb16WN6Uv+iyedO532jnO/eY/HBEXnZ1DEZ0U50C3YYQFlCKHC9qFi3texdFZDoFeiX3fjnmXmJHNYqQ2Kme1kKFB4AeB6izclwbb6MDL9tzFFdTy7wFFCvB6e+p0SruWgJD50iY28PQPbslRADX/IFqZ0jwvJ7GDVUToeI+XhflF5WTu" \t "https://www.so.com/_blank" </w:instrText>
            </w:r>
            <w:r>
              <w:rPr>
                <w:rFonts w:hint="default" w:ascii="方正仿宋简体" w:eastAsia="方正仿宋简体" w:cs="Times New Roman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default" w:ascii="方正仿宋简体" w:eastAsia="方正仿宋简体" w:cs="Times New Roman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《GB17167-</w:t>
            </w:r>
            <w:r>
              <w:rPr>
                <w:rFonts w:hint="eastAsia" w:ascii="方正仿宋简体" w:eastAsia="方正仿宋简体" w:cs="Times New Roman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2006</w:t>
            </w:r>
            <w:r>
              <w:rPr>
                <w:rFonts w:hint="default" w:ascii="方正仿宋简体" w:eastAsia="方正仿宋简体" w:cs="Times New Roman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用能单位能源计量器具配备与管理通则》</w:t>
            </w:r>
            <w:r>
              <w:rPr>
                <w:rFonts w:hint="default" w:ascii="方正仿宋简体" w:eastAsia="方正仿宋简体" w:cs="Times New Roman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fldChar w:fldCharType="end"/>
            </w:r>
            <w:r>
              <w:rPr>
                <w:rFonts w:hint="eastAsia" w:ascii="方正仿宋简体" w:eastAsia="方正仿宋简体" w:cs="Times New Roman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和ISO50001-2018标准6.6</w:t>
            </w:r>
            <w:bookmarkStart w:id="5" w:name="_GoBack"/>
            <w:bookmarkEnd w:id="5"/>
            <w:r>
              <w:rPr>
                <w:rFonts w:hint="eastAsia" w:ascii="方正仿宋简体" w:eastAsia="方正仿宋简体" w:cs="Times New Roman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条款的培训，并理解了标准的含义。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  <w:r>
              <w:rPr>
                <w:rFonts w:hint="eastAsia" w:ascii="方正仿宋简体" w:eastAsia="方正仿宋简体" w:cs="Times New Roman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纠正措施有效。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hint="eastAsia"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p>
      <w:pPr>
        <w:widowControl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 w:val="0"/>
                <w:bCs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  <w:r>
              <w:rPr>
                <w:rFonts w:hint="eastAsia" w:ascii="方正仿宋简体" w:hAnsi="Times New Roman" w:eastAsia="方正仿宋简体" w:cs="Times New Roman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经检查，公司的主要能源计量设备电</w:t>
            </w:r>
            <w:r>
              <w:rPr>
                <w:rFonts w:hint="eastAsia" w:ascii="方正仿宋简体" w:eastAsia="方正仿宋简体" w:cs="Times New Roman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能</w:t>
            </w:r>
            <w:r>
              <w:rPr>
                <w:rFonts w:hint="eastAsia" w:ascii="方正仿宋简体" w:hAnsi="Times New Roman" w:eastAsia="方正仿宋简体" w:cs="Times New Roman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表只有一块进户表，各车间没有安装电</w:t>
            </w:r>
            <w:r>
              <w:rPr>
                <w:rFonts w:hint="eastAsia" w:ascii="方正仿宋简体" w:eastAsia="方正仿宋简体" w:cs="Times New Roman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能</w:t>
            </w:r>
            <w:r>
              <w:rPr>
                <w:rFonts w:hint="eastAsia" w:ascii="方正仿宋简体" w:hAnsi="Times New Roman" w:eastAsia="方正仿宋简体" w:cs="Times New Roman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表。不符合</w:t>
            </w:r>
            <w:r>
              <w:rPr>
                <w:rFonts w:hint="default" w:ascii="方正仿宋简体" w:hAnsi="Times New Roman" w:eastAsia="方正仿宋简体" w:cs="Times New Roman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fldChar w:fldCharType="begin"/>
            </w:r>
            <w:r>
              <w:rPr>
                <w:rFonts w:hint="default" w:ascii="方正仿宋简体" w:hAnsi="Times New Roman" w:eastAsia="方正仿宋简体" w:cs="Times New Roman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instrText xml:space="preserve"> HYPERLINK "https://www.so.com/link?m=bb16WN6Uv+iyedO532jnO/eY/HBEXnZ1DEZ0U50C3YYQFlCKHC9qFi3texdFZDoFeiX3fjnmXmJHNYqQ2Kme1kKFB4AeB6izclwbb6MDL9tzFFdTy7wFFCvB6e+p0SruWgJD50iY28PQPbslRADX/IFqZ0jwvJ7GDVUToeI+XhflF5WTu" \t "https://www.so.com/_blank" </w:instrText>
            </w:r>
            <w:r>
              <w:rPr>
                <w:rFonts w:hint="default" w:ascii="方正仿宋简体" w:hAnsi="Times New Roman" w:eastAsia="方正仿宋简体" w:cs="Times New Roman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default" w:ascii="方正仿宋简体" w:hAnsi="Times New Roman" w:eastAsia="方正仿宋简体" w:cs="Times New Roman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《GB17167-</w:t>
            </w:r>
            <w:r>
              <w:rPr>
                <w:rFonts w:hint="eastAsia" w:ascii="方正仿宋简体" w:eastAsia="方正仿宋简体" w:cs="Times New Roman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2006</w:t>
            </w:r>
            <w:r>
              <w:rPr>
                <w:rFonts w:hint="default" w:ascii="方正仿宋简体" w:hAnsi="Times New Roman" w:eastAsia="方正仿宋简体" w:cs="Times New Roman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用能单位能源计量器具配备与管理通则》</w:t>
            </w:r>
            <w:r>
              <w:rPr>
                <w:rFonts w:hint="default" w:ascii="方正仿宋简体" w:hAnsi="Times New Roman" w:eastAsia="方正仿宋简体" w:cs="Times New Roman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fldChar w:fldCharType="end"/>
            </w:r>
            <w:r>
              <w:rPr>
                <w:rFonts w:hint="eastAsia" w:ascii="方正仿宋简体" w:eastAsia="方正仿宋简体" w:cs="Times New Roman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的要求</w:t>
            </w:r>
            <w:r>
              <w:rPr>
                <w:rFonts w:hint="eastAsia" w:ascii="方正仿宋简体" w:hAnsi="Times New Roman" w:eastAsia="方正仿宋简体" w:cs="Times New Roman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>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p>
      <w:pPr>
        <w:rPr>
          <w:rFonts w:hint="eastAsia"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3073" o:spid="_x0000_s3073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  <w:sz w:val="18"/>
      </w:rPr>
      <w:t>Beijing International Standard united Certification Co.,Ltd.</w:t>
    </w:r>
  </w:p>
  <w:p>
    <w:r>
      <w:pict>
        <v:shape id="_x0000_s3074" o:spid="_x0000_s3074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137C7A82"/>
    <w:rsid w:val="161F2E55"/>
    <w:rsid w:val="277354B5"/>
    <w:rsid w:val="3D2223BC"/>
    <w:rsid w:val="544E1732"/>
    <w:rsid w:val="5CF54E74"/>
    <w:rsid w:val="7DCC76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Lenovo</cp:lastModifiedBy>
  <cp:lastPrinted>2019-05-13T03:02:00Z</cp:lastPrinted>
  <dcterms:modified xsi:type="dcterms:W3CDTF">2021-07-01T02:23:44Z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C8F14289487E4119A40C90B48636F6C7</vt:lpwstr>
  </property>
</Properties>
</file>