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28"/>
          <w:szCs w:val="28"/>
          <w:u w:val="single"/>
        </w:rPr>
        <w:t xml:space="preserve"> </w:t>
      </w:r>
      <w:bookmarkStart w:id="0" w:name="合同编号"/>
      <w:r>
        <w:rPr>
          <w:rFonts w:hint="eastAsia"/>
          <w:sz w:val="28"/>
          <w:szCs w:val="28"/>
          <w:u w:val="single"/>
        </w:rPr>
        <w:t>0579-2021-EnMS</w:t>
      </w:r>
      <w:bookmarkEnd w:id="0"/>
      <w:r>
        <w:rPr>
          <w:rFonts w:hint="eastAsia"/>
          <w:sz w:val="28"/>
          <w:szCs w:val="28"/>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eastAsia="zh-CN"/>
        </w:rPr>
        <w:t>福建大方睡眠科技股份有限公司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spacing w:line="320" w:lineRule="exact"/>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一、</w:t>
      </w:r>
      <w:r>
        <w:rPr>
          <w:rFonts w:hint="eastAsia" w:ascii="宋体" w:hAnsi="宋体"/>
          <w:b/>
          <w:color w:val="000000" w:themeColor="text1"/>
          <w:sz w:val="20"/>
          <w:szCs w:val="20"/>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福建大方睡眠科技股份有限公司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lang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南安市诗山镇西上村西上工业区</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hint="eastAsia" w:ascii="宋体" w:hAnsi="宋体" w:eastAsia="宋体"/>
                <w:b/>
                <w:color w:val="000000" w:themeColor="text1"/>
                <w:spacing w:val="-20"/>
                <w:sz w:val="20"/>
                <w:szCs w:val="20"/>
                <w:lang w:eastAsia="zh-CN"/>
              </w:rPr>
            </w:pPr>
            <w:r>
              <w:rPr>
                <w:rFonts w:hint="eastAsia" w:ascii="宋体" w:hAnsi="宋体"/>
                <w:b/>
                <w:color w:val="000000" w:themeColor="text1"/>
                <w:spacing w:val="-20"/>
                <w:sz w:val="20"/>
                <w:szCs w:val="20"/>
                <w:lang w:eastAsia="zh-CN"/>
              </w:rPr>
              <w:t>362311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南安市诗山镇西上村西上工业区</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362311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林凤英</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18965752519</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 w:name="联系人传真"/>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叶艺峰</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2" w:name="最高管理者"/>
            <w:bookmarkEnd w:id="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陈俊铃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vAlign w:val="center"/>
          </w:tcPr>
          <w:p>
            <w:pPr>
              <w:spacing w:line="320" w:lineRule="exact"/>
              <w:jc w:val="lef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lang w:eastAsia="zh-CN"/>
              </w:rPr>
              <w:t>聚氨酯泡绵和浇注型聚氨酯弹性体的设计和生产</w:t>
            </w:r>
            <w:r>
              <w:rPr>
                <w:rFonts w:ascii="宋体" w:hAnsi="宋体"/>
                <w:b/>
                <w:color w:val="000000" w:themeColor="text1"/>
                <w:sz w:val="20"/>
                <w:szCs w:val="20"/>
              </w:rPr>
              <w:t>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spacing w:line="320" w:lineRule="exact"/>
              <w:jc w:val="left"/>
              <w:rPr>
                <w:rFonts w:ascii="宋体" w:hAnsi="宋体"/>
                <w:b/>
                <w:color w:val="000000" w:themeColor="text1"/>
                <w:sz w:val="20"/>
                <w:szCs w:val="20"/>
              </w:rPr>
            </w:pPr>
            <w:bookmarkStart w:id="3" w:name="专业代码"/>
            <w:r>
              <w:rPr>
                <w:rFonts w:ascii="宋体" w:hAnsi="宋体"/>
                <w:b/>
                <w:color w:val="000000" w:themeColor="text1"/>
                <w:sz w:val="20"/>
                <w:szCs w:val="20"/>
              </w:rPr>
              <w:t>2.10</w:t>
            </w:r>
            <w:bookmarkEnd w:id="3"/>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4" w:name="体系运行时间"/>
            <w:r>
              <w:rPr>
                <w:rFonts w:ascii="宋体" w:hAnsi="宋体"/>
                <w:b/>
                <w:color w:val="000000" w:themeColor="text1"/>
                <w:sz w:val="20"/>
                <w:szCs w:val="20"/>
              </w:rPr>
              <w:t>2020-12-06 0:00:00</w:t>
            </w:r>
            <w:bookmarkEnd w:id="4"/>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numPr>
          <w:ilvl w:val="0"/>
          <w:numId w:val="0"/>
        </w:numPr>
        <w:rPr>
          <w:rFonts w:hint="eastAsia"/>
        </w:rPr>
      </w:pPr>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5" w:name="auDate"/>
            <w:bookmarkEnd w:id="5"/>
            <w:r>
              <w:rPr>
                <w:rFonts w:hint="eastAsia"/>
              </w:rPr>
              <w:t xml:space="preserve">  </w:t>
            </w:r>
            <w:r>
              <w:rPr>
                <w:rFonts w:hint="eastAsia"/>
                <w:lang w:val="en-US" w:eastAsia="zh-CN"/>
              </w:rPr>
              <w:t>2021</w:t>
            </w:r>
            <w:r>
              <w:rPr>
                <w:rFonts w:hint="eastAsia"/>
              </w:rPr>
              <w:t xml:space="preserve">年 </w:t>
            </w:r>
            <w:r>
              <w:rPr>
                <w:rFonts w:hint="eastAsia"/>
                <w:lang w:val="en-US" w:eastAsia="zh-CN"/>
              </w:rPr>
              <w:t>6</w:t>
            </w:r>
            <w:r>
              <w:rPr>
                <w:rFonts w:hint="eastAsia"/>
              </w:rPr>
              <w:t xml:space="preserve"> 月</w:t>
            </w:r>
            <w:r>
              <w:rPr>
                <w:rFonts w:hint="eastAsia"/>
                <w:lang w:val="en-US" w:eastAsia="zh-CN"/>
              </w:rPr>
              <w:t>26</w:t>
            </w:r>
            <w:r>
              <w:rPr>
                <w:rFonts w:hint="eastAsia"/>
              </w:rPr>
              <w:t xml:space="preserve"> 日</w:t>
            </w:r>
            <w:r>
              <w:rPr>
                <w:rFonts w:hint="eastAsia"/>
                <w:lang w:val="en-US" w:eastAsia="zh-CN"/>
              </w:rPr>
              <w:t>8:00</w:t>
            </w:r>
            <w:r>
              <w:rPr>
                <w:rFonts w:hint="eastAsia"/>
              </w:rPr>
              <w:t xml:space="preserve">至 </w:t>
            </w:r>
            <w:r>
              <w:rPr>
                <w:rFonts w:hint="eastAsia"/>
                <w:lang w:val="en-US" w:eastAsia="zh-CN"/>
              </w:rPr>
              <w:t>2021</w:t>
            </w:r>
            <w:r>
              <w:rPr>
                <w:rFonts w:hint="eastAsia"/>
              </w:rPr>
              <w:t>年</w:t>
            </w:r>
            <w:r>
              <w:rPr>
                <w:rFonts w:hint="eastAsia"/>
                <w:lang w:val="en-US" w:eastAsia="zh-CN"/>
              </w:rPr>
              <w:t>6</w:t>
            </w:r>
            <w:r>
              <w:rPr>
                <w:rFonts w:hint="eastAsia"/>
              </w:rPr>
              <w:t xml:space="preserve">月 </w:t>
            </w:r>
            <w:r>
              <w:rPr>
                <w:rFonts w:hint="eastAsia"/>
                <w:lang w:val="en-US" w:eastAsia="zh-CN"/>
              </w:rPr>
              <w:t>29</w:t>
            </w:r>
            <w:r>
              <w:rPr>
                <w:rFonts w:hint="eastAsia"/>
              </w:rPr>
              <w:t xml:space="preserve"> 日 </w:t>
            </w:r>
            <w:r>
              <w:rPr>
                <w:rFonts w:hint="eastAsia"/>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r>
              <w:rPr>
                <w:rFonts w:hint="eastAsia"/>
                <w:lang w:eastAsia="zh-CN"/>
              </w:rPr>
              <w:t>□</w:t>
            </w:r>
            <w:r>
              <w:rPr>
                <w:rFonts w:hint="eastAsia"/>
              </w:rPr>
              <w:t xml:space="preserve">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□GB/T28001-2011  □ISO45001：2018标准</w:t>
            </w:r>
          </w:p>
          <w:p>
            <w:pPr>
              <w:rPr>
                <w:rFonts w:hint="eastAsia" w:ascii="宋体" w:hAnsi="宋体"/>
                <w:b/>
                <w:color w:val="000000"/>
                <w:sz w:val="20"/>
                <w:highlight w:val="yellow"/>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en-US" w:eastAsia="zh-CN"/>
              </w:rPr>
              <w:t xml:space="preserve">   </w:t>
            </w:r>
            <w:r>
              <w:rPr>
                <w:rFonts w:hint="eastAsia" w:ascii="宋体" w:hAnsi="宋体"/>
                <w:b/>
                <w:color w:val="000000"/>
                <w:sz w:val="20"/>
                <w:highlight w:val="yellow"/>
                <w:lang w:val="de-DE" w:eastAsia="zh-CN"/>
              </w:rPr>
              <w:t>□</w:t>
            </w:r>
            <w:r>
              <w:rPr>
                <w:rFonts w:hint="eastAsia" w:ascii="宋体" w:hAnsi="宋体"/>
                <w:b/>
                <w:color w:val="000000"/>
                <w:sz w:val="20"/>
                <w:highlight w:val="yellow"/>
                <w:lang w:val="en-US" w:eastAsia="zh-CN"/>
              </w:rPr>
              <w:t>RB/T</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pPr>
              <w:rPr>
                <w:rFonts w:hint="default" w:eastAsia="宋体"/>
                <w:lang w:val="en-US" w:eastAsia="zh-CN"/>
              </w:rPr>
            </w:pPr>
            <w:r>
              <w:rPr>
                <w:rFonts w:hint="eastAsia" w:ascii="宋体" w:hAnsi="宋体"/>
                <w:b/>
                <w:color w:val="000000" w:themeColor="text1"/>
                <w:sz w:val="20"/>
                <w:szCs w:val="20"/>
                <w:lang w:eastAsia="zh-CN"/>
              </w:rPr>
              <w:t>聚氨酯泡绵和浇注型聚氨酯弹性体的设计和生产</w:t>
            </w:r>
            <w:r>
              <w:rPr>
                <w:rFonts w:hint="eastAsia" w:ascii="宋体" w:hAnsi="宋体"/>
                <w:b/>
                <w:color w:val="000000" w:themeColor="text1"/>
                <w:sz w:val="20"/>
                <w:szCs w:val="20"/>
                <w:lang w:val="en-US" w:eastAsia="zh-CN"/>
              </w:rPr>
              <w:t>涉及的能源管理活动</w:t>
            </w:r>
          </w:p>
        </w:tc>
        <w:tc>
          <w:tcPr>
            <w:tcW w:w="3215" w:type="dxa"/>
            <w:vAlign w:val="center"/>
          </w:tcPr>
          <w:p>
            <w:r>
              <w:rPr>
                <w:rFonts w:ascii="宋体" w:hAnsi="宋体"/>
                <w:b/>
                <w:color w:val="000000" w:themeColor="text1"/>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center"/>
            </w:pPr>
            <w:r>
              <w:rPr>
                <w:rFonts w:hint="eastAsia"/>
                <w:lang w:val="en-US" w:eastAsia="zh-CN"/>
              </w:rPr>
              <w:t>2020</w:t>
            </w:r>
            <w:r>
              <w:rPr>
                <w:rFonts w:hint="eastAsia"/>
              </w:rPr>
              <w:t>年</w:t>
            </w:r>
            <w:r>
              <w:rPr>
                <w:rFonts w:hint="eastAsia"/>
                <w:lang w:val="en-US" w:eastAsia="zh-CN"/>
              </w:rPr>
              <w:t>12</w:t>
            </w:r>
            <w:r>
              <w:rPr>
                <w:rFonts w:hint="eastAsia"/>
              </w:rPr>
              <w:t xml:space="preserve">月 </w:t>
            </w:r>
            <w:r>
              <w:rPr>
                <w:rFonts w:hint="eastAsia"/>
                <w:lang w:val="en-US" w:eastAsia="zh-CN"/>
              </w:rPr>
              <w:t>6</w:t>
            </w:r>
            <w:r>
              <w:rPr>
                <w:rFonts w:hint="eastAsia"/>
              </w:rPr>
              <w:t>日</w:t>
            </w: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highlight w:val="yellow"/>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Theme="minorEastAsia"/>
                <w:lang w:val="en-US" w:eastAsia="zh-CN"/>
              </w:rPr>
            </w:pPr>
            <w:r>
              <w:rPr>
                <w:rFonts w:hint="eastAsia"/>
                <w:sz w:val="21"/>
                <w:szCs w:val="21"/>
                <w:lang w:eastAsia="zh-CN"/>
              </w:rPr>
              <w:t>福建大方睡眠科技股份有限公司</w:t>
            </w:r>
            <w:r>
              <w:rPr>
                <w:rFonts w:hint="eastAsia" w:asciiTheme="minorEastAsia" w:hAnsiTheme="minorEastAsia" w:eastAsiaTheme="minorEastAsia"/>
                <w:sz w:val="20"/>
                <w:lang w:eastAsia="zh-CN"/>
              </w:rPr>
              <w:t>南安市诗山镇西上村西上工业区</w:t>
            </w:r>
          </w:p>
        </w:tc>
        <w:tc>
          <w:tcPr>
            <w:tcW w:w="2267" w:type="dxa"/>
          </w:tcPr>
          <w:p>
            <w:pPr>
              <w:numPr>
                <w:ilvl w:val="0"/>
                <w:numId w:val="1"/>
              </w:numPr>
              <w:rPr>
                <w:rFonts w:hint="eastAsia" w:asciiTheme="minorEastAsia" w:hAnsiTheme="minorEastAsia" w:eastAsiaTheme="minorEastAsia"/>
                <w:sz w:val="20"/>
                <w:lang w:val="de-DE" w:eastAsia="zh-CN"/>
              </w:rPr>
            </w:pPr>
            <w:bookmarkStart w:id="6" w:name="生产地址"/>
            <w:r>
              <w:rPr>
                <w:rFonts w:hint="eastAsia" w:asciiTheme="minorEastAsia" w:hAnsiTheme="minorEastAsia" w:eastAsiaTheme="minorEastAsia"/>
                <w:sz w:val="20"/>
                <w:lang w:eastAsia="zh-CN"/>
              </w:rPr>
              <w:t>南安市诗山镇西上村西上工业区</w:t>
            </w:r>
            <w:bookmarkEnd w:id="6"/>
          </w:p>
        </w:tc>
        <w:tc>
          <w:tcPr>
            <w:tcW w:w="571" w:type="dxa"/>
            <w:vAlign w:val="center"/>
          </w:tcPr>
          <w:p>
            <w:pPr>
              <w:rPr>
                <w:rFonts w:hint="default" w:eastAsia="宋体"/>
                <w:lang w:val="en-US" w:eastAsia="zh-CN"/>
              </w:rPr>
            </w:pPr>
            <w:r>
              <w:rPr>
                <w:rFonts w:hint="eastAsia"/>
                <w:lang w:val="en-US" w:eastAsia="zh-CN"/>
              </w:rPr>
              <w:t>65</w:t>
            </w:r>
          </w:p>
        </w:tc>
        <w:tc>
          <w:tcPr>
            <w:tcW w:w="2803" w:type="dxa"/>
            <w:vAlign w:val="center"/>
          </w:tcPr>
          <w:p>
            <w:pPr>
              <w:rPr>
                <w:lang w:eastAsia="ja-JP"/>
              </w:rPr>
            </w:pPr>
            <w:r>
              <w:rPr>
                <w:rFonts w:hint="eastAsia"/>
                <w:sz w:val="20"/>
                <w:lang w:eastAsia="zh-CN"/>
              </w:rPr>
              <w:t>聚氨酯泡绵和浇注型聚氨酯弹性体的设计和生产</w:t>
            </w:r>
            <w:r>
              <w:rPr>
                <w:rFonts w:hint="eastAsia"/>
                <w:sz w:val="20"/>
                <w:lang w:val="en-US" w:eastAsia="zh-CN"/>
              </w:rPr>
              <w:t>涉及的能源管理活动。</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tbl>
      <w:tblPr>
        <w:tblStyle w:val="9"/>
        <w:tblpPr w:leftFromText="180" w:rightFromText="180" w:vertAnchor="text" w:horzAnchor="page" w:tblpX="1122" w:tblpY="652"/>
        <w:tblOverlap w:val="never"/>
        <w:tblW w:w="9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应红艳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2.10</w:t>
            </w:r>
          </w:p>
        </w:tc>
      </w:tr>
    </w:tbl>
    <w:p>
      <w:pPr>
        <w:numPr>
          <w:ilvl w:val="0"/>
          <w:numId w:val="2"/>
        </w:numPr>
        <w:rPr>
          <w:rFonts w:hint="eastAsia"/>
        </w:rPr>
      </w:pPr>
      <w:r>
        <w:rPr>
          <w:rFonts w:hint="eastAsia"/>
        </w:rPr>
        <w:t>审核组成员信息</w:t>
      </w:r>
    </w:p>
    <w:p/>
    <w:p>
      <w:pPr>
        <w:rPr>
          <w:rFonts w:hint="eastAsia"/>
        </w:rPr>
      </w:pPr>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3"/>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vAlign w:val="center"/>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60288" behindDoc="0" locked="0" layoutInCell="1" allowOverlap="1">
                  <wp:simplePos x="0" y="0"/>
                  <wp:positionH relativeFrom="column">
                    <wp:posOffset>406400</wp:posOffset>
                  </wp:positionH>
                  <wp:positionV relativeFrom="page">
                    <wp:posOffset>16510</wp:posOffset>
                  </wp:positionV>
                  <wp:extent cx="570230" cy="435610"/>
                  <wp:effectExtent l="0" t="0" r="1270" b="8890"/>
                  <wp:wrapSquare wrapText="bothSides"/>
                  <wp:docPr id="3"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p>
        </w:tc>
        <w:tc>
          <w:tcPr>
            <w:tcW w:w="2835" w:type="dxa"/>
            <w:shd w:val="clear" w:color="auto" w:fill="auto"/>
          </w:tcPr>
          <w:p>
            <w:r>
              <w:rPr>
                <w:rFonts w:hint="eastAsia"/>
              </w:rPr>
              <w:t>日期</w:t>
            </w:r>
          </w:p>
        </w:tc>
        <w:tc>
          <w:tcPr>
            <w:tcW w:w="2836" w:type="dxa"/>
            <w:shd w:val="clear" w:color="auto" w:fill="auto"/>
          </w:tcPr>
          <w:p>
            <w:pPr>
              <w:rPr>
                <w:rFonts w:hint="default" w:eastAsia="宋体"/>
                <w:lang w:val="en-US" w:eastAsia="zh-CN"/>
              </w:rPr>
            </w:pPr>
            <w:r>
              <w:rPr>
                <w:rFonts w:hint="eastAsia"/>
                <w:lang w:val="en-US" w:eastAsia="zh-CN"/>
              </w:rPr>
              <w:t>2021.6..29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spacing w:before="40" w:after="40"/>
        <w:rPr>
          <w:rFonts w:eastAsia="微软雅黑"/>
        </w:rPr>
      </w:pPr>
    </w:p>
    <w:p>
      <w:pPr>
        <w:shd w:val="clear" w:color="auto" w:fill="EBF1DE" w:themeFill="accent3" w:themeFillTint="32"/>
        <w:rPr>
          <w:highlight w:val="yellow"/>
        </w:rPr>
      </w:pPr>
      <w:r>
        <w:rPr>
          <w:highlight w:val="yellow"/>
        </w:rPr>
        <w:t>附件 ISO</w:t>
      </w:r>
      <w:r>
        <w:rPr>
          <w:rFonts w:hint="eastAsia"/>
          <w:highlight w:val="yellow"/>
        </w:rPr>
        <w:t xml:space="preserve"> 50</w:t>
      </w:r>
      <w:r>
        <w:rPr>
          <w:highlight w:val="yellow"/>
        </w:rPr>
        <w:t>001:201</w:t>
      </w:r>
      <w:r>
        <w:rPr>
          <w:rFonts w:hint="eastAsia"/>
          <w:highlight w:val="yellow"/>
        </w:rPr>
        <w:t>8</w:t>
      </w:r>
      <w:r>
        <w:rPr>
          <w:highlight w:val="yellow"/>
        </w:rPr>
        <w:t xml:space="preserve"> (若不是ISO</w:t>
      </w:r>
      <w:r>
        <w:rPr>
          <w:rFonts w:hint="eastAsia"/>
          <w:highlight w:val="yellow"/>
        </w:rPr>
        <w:t>50</w:t>
      </w:r>
      <w:r>
        <w:rPr>
          <w:highlight w:val="yellow"/>
        </w:rPr>
        <w:t>001:201</w:t>
      </w:r>
      <w:r>
        <w:rPr>
          <w:rFonts w:hint="eastAsia"/>
          <w:highlight w:val="yellow"/>
        </w:rPr>
        <w:t>8</w:t>
      </w:r>
      <w:r>
        <w:rPr>
          <w:highlight w:val="yellow"/>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w:t>
                  </w:r>
                  <w:r>
                    <w:rPr>
                      <w:rFonts w:hint="eastAsia"/>
                      <w:highlight w:val="yellow"/>
                      <w:lang w:eastAsia="zh-CN"/>
                    </w:rPr>
                    <w:t>☑</w:t>
                  </w:r>
                  <w:r>
                    <w:rPr>
                      <w:rFonts w:hint="eastAsia"/>
                      <w:highlight w:val="yellow"/>
                    </w:rPr>
                    <w:t xml:space="preserve">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社会 </w:t>
                  </w:r>
                  <w:r>
                    <w:rPr>
                      <w:rFonts w:hint="eastAsia"/>
                      <w:highlight w:val="yellow"/>
                      <w:lang w:eastAsia="zh-CN"/>
                    </w:rPr>
                    <w:t>☑</w:t>
                  </w:r>
                  <w:r>
                    <w:rPr>
                      <w:rFonts w:hint="eastAsia"/>
                      <w:highlight w:val="yellow"/>
                    </w:rPr>
                    <w:t xml:space="preserve">经济环境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政治 </w:t>
                  </w:r>
                  <w:r>
                    <w:rPr>
                      <w:rFonts w:hint="eastAsia"/>
                      <w:highlight w:val="yellow"/>
                      <w:lang w:eastAsia="zh-CN"/>
                    </w:rPr>
                    <w:t>☑</w:t>
                  </w:r>
                  <w:r>
                    <w:rPr>
                      <w:rFonts w:hint="eastAsia"/>
                      <w:highlight w:val="yellow"/>
                    </w:rPr>
                    <w:t xml:space="preserve">监管  </w:t>
                  </w:r>
                  <w:r>
                    <w:rPr>
                      <w:rFonts w:hint="eastAsia"/>
                      <w:highlight w:val="yellow"/>
                      <w:lang w:eastAsia="zh-CN"/>
                    </w:rPr>
                    <w:t>☑</w:t>
                  </w:r>
                  <w:r>
                    <w:rPr>
                      <w:rFonts w:hint="eastAsia"/>
                      <w:highlight w:val="yellow"/>
                    </w:rPr>
                    <w:t xml:space="preserve">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w:t>
                  </w:r>
                  <w:r>
                    <w:rPr>
                      <w:rFonts w:hint="eastAsia"/>
                      <w:highlight w:val="yellow"/>
                      <w:lang w:eastAsia="zh-CN"/>
                    </w:rPr>
                    <w:t>☑</w:t>
                  </w:r>
                  <w:r>
                    <w:rPr>
                      <w:rFonts w:hint="eastAsia"/>
                      <w:highlight w:val="yellow"/>
                    </w:rPr>
                    <w:t xml:space="preserve">工艺 </w:t>
                  </w:r>
                  <w:r>
                    <w:rPr>
                      <w:rFonts w:hint="eastAsia"/>
                      <w:highlight w:val="yellow"/>
                      <w:lang w:eastAsia="zh-CN"/>
                    </w:rPr>
                    <w:t>☑</w:t>
                  </w:r>
                  <w:r>
                    <w:rPr>
                      <w:rFonts w:hint="eastAsia"/>
                      <w:highlight w:val="yellow"/>
                    </w:rPr>
                    <w:t xml:space="preserve">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rFonts w:hint="eastAsia"/>
                      <w:highlight w:val="yellow"/>
                      <w:lang w:eastAsia="zh-CN"/>
                    </w:rPr>
                    <w:t>☑</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w:t>
            </w:r>
            <w:r>
              <w:rPr>
                <w:rFonts w:hint="eastAsia"/>
                <w:highlight w:val="yellow"/>
                <w:lang w:eastAsia="zh-CN"/>
              </w:rPr>
              <w:t>☑</w:t>
            </w:r>
            <w:r>
              <w:rPr>
                <w:rFonts w:hint="eastAsia"/>
                <w:highlight w:val="yellow"/>
              </w:rPr>
              <w:t xml:space="preserve">满足限额要求 </w:t>
            </w:r>
            <w:r>
              <w:rPr>
                <w:rFonts w:hint="eastAsia"/>
                <w:highlight w:val="yellow"/>
                <w:lang w:eastAsia="zh-CN"/>
              </w:rPr>
              <w:t>☑</w:t>
            </w:r>
            <w:r>
              <w:rPr>
                <w:rFonts w:hint="eastAsia"/>
                <w:highlight w:val="yellow"/>
              </w:rPr>
              <w:t xml:space="preserve">主要用能设备管理  </w:t>
            </w:r>
            <w:r>
              <w:rPr>
                <w:rFonts w:hint="eastAsia"/>
                <w:highlight w:val="cyan"/>
                <w:lang w:eastAsia="zh-CN"/>
              </w:rPr>
              <w:t>☑</w:t>
            </w:r>
            <w:r>
              <w:rPr>
                <w:rFonts w:hint="eastAsia"/>
                <w:highlight w:val="cyan"/>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生产/服务过程 </w:t>
            </w:r>
            <w:r>
              <w:rPr>
                <w:rFonts w:hint="eastAsia"/>
                <w:highlight w:val="yellow"/>
                <w:lang w:eastAsia="zh-CN"/>
              </w:rPr>
              <w:t>☑</w:t>
            </w:r>
            <w:r>
              <w:rPr>
                <w:rFonts w:hint="eastAsia"/>
                <w:highlight w:val="yellow"/>
              </w:rPr>
              <w:t xml:space="preserve">能效监测 </w:t>
            </w:r>
            <w:r>
              <w:rPr>
                <w:rFonts w:hint="eastAsia"/>
                <w:highlight w:val="yellow"/>
                <w:lang w:eastAsia="zh-CN"/>
              </w:rPr>
              <w:t>☑</w:t>
            </w:r>
            <w:r>
              <w:rPr>
                <w:rFonts w:hint="eastAsia"/>
                <w:highlight w:val="yellow"/>
              </w:rPr>
              <w:t xml:space="preserve">设备维修 </w:t>
            </w:r>
            <w:r>
              <w:rPr>
                <w:rFonts w:hint="eastAsia"/>
                <w:highlight w:val="yellow"/>
                <w:lang w:eastAsia="zh-CN"/>
              </w:rPr>
              <w:t>☑</w:t>
            </w:r>
            <w:r>
              <w:rPr>
                <w:rFonts w:hint="eastAsia"/>
                <w:highlight w:val="yellow"/>
              </w:rPr>
              <w:t>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pacing w:line="360" w:lineRule="auto"/>
              <w:ind w:firstLine="435"/>
              <w:rPr>
                <w:rFonts w:hint="eastAsia" w:ascii="Times New Roman" w:hAnsi="Times New Roman" w:eastAsia="宋体" w:cs="Times New Roman"/>
                <w:highlight w:val="yellow"/>
                <w:lang w:val="en-US" w:eastAsia="zh-CN"/>
              </w:rPr>
            </w:pPr>
            <w:r>
              <w:rPr>
                <w:rFonts w:hint="eastAsia"/>
                <w:highlight w:val="yellow"/>
              </w:rPr>
              <w:t>最高管理者制定了文件化的管理体系方针：</w:t>
            </w:r>
            <w:r>
              <w:rPr>
                <w:rFonts w:hint="eastAsia" w:ascii="Times New Roman" w:hAnsi="Times New Roman" w:eastAsia="宋体" w:cs="Times New Roman"/>
                <w:highlight w:val="yellow"/>
                <w:u w:val="single"/>
                <w:lang w:val="en-US" w:eastAsia="zh-CN"/>
              </w:rPr>
              <w:t>“</w:t>
            </w:r>
            <w:r>
              <w:rPr>
                <w:rFonts w:hint="eastAsia" w:ascii="Times New Roman" w:hAnsi="Times New Roman" w:eastAsia="宋体" w:cs="Times New Roman"/>
                <w:highlight w:val="yellow"/>
                <w:u w:val="single"/>
              </w:rPr>
              <w:t>严格贯彻节能法律法规，履行节能降耗相关要求；提供资源促进节能进步，持续改进能源管理绩效；形成节能降耗长效机制，构建节约环保绿色企业</w:t>
            </w:r>
            <w:r>
              <w:rPr>
                <w:rFonts w:hint="eastAsia" w:ascii="Times New Roman" w:hAnsi="Times New Roman" w:eastAsia="宋体" w:cs="Times New Roman"/>
                <w:highlight w:val="yellow"/>
                <w:u w:val="single"/>
                <w:lang w:val="en-US" w:eastAsia="zh-CN"/>
              </w:rPr>
              <w:t>。”</w:t>
            </w:r>
          </w:p>
          <w:p>
            <w:pPr>
              <w:shd w:val="clear" w:color="auto" w:fill="EBF1DE" w:themeFill="accent3" w:themeFillTint="32"/>
              <w:rPr>
                <w:highlight w:val="yellow"/>
                <w:u w:val="single"/>
              </w:rPr>
            </w:pP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default" w:eastAsia="宋体"/>
                <w:highlight w:val="cyan"/>
                <w:lang w:val="en-US" w:eastAsia="zh-CN"/>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lang w:eastAsia="zh-CN"/>
              </w:rPr>
              <w:t>☑</w:t>
            </w:r>
            <w:r>
              <w:rPr>
                <w:rFonts w:hint="eastAsia"/>
                <w:highlight w:val="cyan"/>
                <w:lang w:val="en-US" w:eastAsia="zh-CN"/>
              </w:rPr>
              <w:t>总经办</w:t>
            </w:r>
          </w:p>
          <w:p>
            <w:pPr>
              <w:shd w:val="clear" w:color="auto" w:fill="EBF1DE" w:themeFill="accent3" w:themeFillTint="32"/>
              <w:rPr>
                <w:rFonts w:hint="default"/>
                <w:highlight w:val="yellow"/>
                <w:lang w:val="en-US"/>
              </w:rPr>
            </w:pPr>
            <w:r>
              <w:rPr>
                <w:rFonts w:hint="eastAsia"/>
                <w:highlight w:val="cyan"/>
                <w:lang w:val="en-US" w:eastAsia="zh-CN"/>
              </w:rPr>
              <w:t>能源管理团队负责人（管理者代表）是——陈俊铃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yellow"/>
                    </w:rPr>
                    <w:t>主要的风险或机遇描述</w:t>
                  </w:r>
                </w:p>
              </w:tc>
              <w:tc>
                <w:tcPr>
                  <w:tcW w:w="3965" w:type="dxa"/>
                </w:tcPr>
                <w:p>
                  <w:pPr>
                    <w:shd w:val="clear" w:color="auto" w:fill="EBF1DE" w:themeFill="accent3" w:themeFillTint="32"/>
                    <w:rPr>
                      <w:highlight w:val="yellow"/>
                    </w:rPr>
                  </w:pPr>
                  <w:r>
                    <w:rPr>
                      <w:rFonts w:hint="eastAsia"/>
                      <w:highlight w:val="yellow"/>
                    </w:rPr>
                    <w:t>应对措施</w:t>
                  </w:r>
                </w:p>
              </w:tc>
              <w:tc>
                <w:tcPr>
                  <w:tcW w:w="1717" w:type="dxa"/>
                </w:tcPr>
                <w:p>
                  <w:pPr>
                    <w:shd w:val="clear" w:color="auto" w:fill="EBF1DE" w:themeFill="accent3" w:themeFillTint="32"/>
                    <w:rPr>
                      <w:highlight w:val="yellow"/>
                    </w:rPr>
                  </w:pPr>
                  <w:r>
                    <w:rPr>
                      <w:rFonts w:hint="eastAsia"/>
                      <w:highlight w:val="yellow"/>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highlight w:val="yellow"/>
                    </w:rPr>
                  </w:pPr>
                  <w:r>
                    <w:rPr>
                      <w:rFonts w:hint="eastAsia" w:ascii="Times New Roman" w:hAnsi="Times New Roman" w:eastAsia="宋体" w:cs="Times New Roman"/>
                      <w:color w:val="auto"/>
                      <w:kern w:val="2"/>
                      <w:sz w:val="21"/>
                      <w:szCs w:val="24"/>
                      <w:highlight w:val="none"/>
                      <w:vertAlign w:val="baseline"/>
                      <w:lang w:val="en-US" w:eastAsia="zh-CN" w:bidi="ar-SA"/>
                    </w:rPr>
                    <w:t>加强火源管理，可能导致的泄漏火灾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highlight w:val="yellow"/>
                    </w:rPr>
                  </w:pPr>
                  <w:r>
                    <w:rPr>
                      <w:rFonts w:hint="eastAsia" w:ascii="Times New Roman" w:hAnsi="Times New Roman" w:eastAsia="宋体" w:cs="Times New Roman"/>
                      <w:color w:val="auto"/>
                      <w:kern w:val="2"/>
                      <w:sz w:val="21"/>
                      <w:szCs w:val="24"/>
                      <w:highlight w:val="none"/>
                      <w:vertAlign w:val="baseline"/>
                      <w:lang w:val="en-US" w:eastAsia="zh-CN" w:bidi="ar-SA"/>
                    </w:rPr>
                    <w:t>专人管理、配备防泄漏容器、消防设备</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highlight w:val="yellow"/>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highlight w:val="yellow"/>
                    </w:rPr>
                  </w:pPr>
                  <w:r>
                    <w:rPr>
                      <w:rFonts w:hint="eastAsia" w:cs="Times New Roman"/>
                      <w:color w:val="auto"/>
                      <w:kern w:val="2"/>
                      <w:sz w:val="21"/>
                      <w:szCs w:val="24"/>
                      <w:highlight w:val="none"/>
                      <w:vertAlign w:val="baseline"/>
                      <w:lang w:val="en-US" w:eastAsia="zh-CN" w:bidi="ar-SA"/>
                    </w:rPr>
                    <w:t>消防安全风险</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highlight w:val="yellow"/>
                    </w:rPr>
                  </w:pPr>
                  <w:r>
                    <w:rPr>
                      <w:rFonts w:hint="eastAsia" w:ascii="Times New Roman" w:hAnsi="Times New Roman" w:eastAsia="宋体" w:cs="Times New Roman"/>
                      <w:color w:val="auto"/>
                      <w:kern w:val="2"/>
                      <w:sz w:val="21"/>
                      <w:highlight w:val="none"/>
                      <w:vertAlign w:val="baseline"/>
                      <w:lang w:val="en-US" w:eastAsia="zh-CN" w:bidi="ar-SA"/>
                    </w:rPr>
                    <w:t>定期进行消防安全培训及安全演练、配备消防设备、建立消防安全疏散通道</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highlight w:val="yellow"/>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生产线运转时的安全事故</w:t>
                  </w:r>
                </w:p>
              </w:tc>
              <w:tc>
                <w:tcPr>
                  <w:tcW w:w="3965"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加强生产线的安全防范，制定应急预案，保证生产线的安全运行。</w:t>
                  </w:r>
                </w:p>
              </w:tc>
              <w:tc>
                <w:tcPr>
                  <w:tcW w:w="1717" w:type="dxa"/>
                </w:tcPr>
                <w:p>
                  <w:pPr>
                    <w:shd w:val="clear" w:color="auto" w:fill="EBF1DE" w:themeFill="accent3" w:themeFillTint="32"/>
                    <w:rPr>
                      <w:highlight w:val="yellow"/>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 xml:space="preserve">□蒸汽 □天然气 </w:t>
            </w:r>
            <w:r>
              <w:rPr>
                <w:rFonts w:hint="eastAsia"/>
                <w:highlight w:val="yellow"/>
                <w:lang w:eastAsia="zh-CN"/>
              </w:rPr>
              <w:t>□</w:t>
            </w:r>
            <w:r>
              <w:rPr>
                <w:rFonts w:hint="eastAsia"/>
                <w:highlight w:val="yellow"/>
              </w:rPr>
              <w:t xml:space="preserve">燃料油  □燃料气 </w:t>
            </w:r>
            <w:r>
              <w:rPr>
                <w:rFonts w:hint="eastAsia"/>
                <w:highlight w:val="yellow"/>
                <w:lang w:eastAsia="zh-CN"/>
              </w:rPr>
              <w:t>☑</w:t>
            </w:r>
            <w:r>
              <w:rPr>
                <w:rFonts w:hint="eastAsia"/>
                <w:highlight w:val="yellow"/>
              </w:rPr>
              <w:t xml:space="preserve">电力  □氮气 □风  □新鲜水 </w:t>
            </w:r>
            <w:r>
              <w:rPr>
                <w:rFonts w:hint="eastAsia"/>
                <w:highlight w:val="yellow"/>
                <w:lang w:eastAsia="zh-CN"/>
              </w:rPr>
              <w:t>□</w:t>
            </w:r>
            <w:r>
              <w:rPr>
                <w:rFonts w:hint="eastAsia"/>
                <w:highlight w:val="yellow"/>
              </w:rPr>
              <w:t>各种品质水</w:t>
            </w:r>
          </w:p>
          <w:p>
            <w:pPr>
              <w:jc w:val="left"/>
              <w:rPr>
                <w:rFonts w:hint="default" w:eastAsia="宋体"/>
                <w:highlight w:val="yellow"/>
                <w:lang w:val="en-US" w:eastAsia="zh-CN"/>
              </w:rPr>
            </w:pPr>
            <w:r>
              <w:rPr>
                <w:rFonts w:hint="eastAsia"/>
                <w:highlight w:val="yellow"/>
                <w:lang w:eastAsia="zh-CN"/>
              </w:rPr>
              <w:t>□</w:t>
            </w:r>
            <w:r>
              <w:rPr>
                <w:rFonts w:hint="eastAsia"/>
                <w:highlight w:val="yellow"/>
              </w:rPr>
              <w:t>其他</w:t>
            </w:r>
            <w:r>
              <w:rPr>
                <w:rFonts w:hint="eastAsia"/>
                <w:highlight w:val="yellow"/>
                <w:lang w:val="en-US" w:eastAsia="zh-CN"/>
              </w:rPr>
              <w:t>-</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lang w:eastAsia="zh-CN"/>
              </w:rPr>
              <w:t>☑</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w:t>
            </w:r>
            <w:r>
              <w:rPr>
                <w:rFonts w:hint="eastAsia"/>
                <w:highlight w:val="yellow"/>
                <w:lang w:eastAsia="zh-CN"/>
              </w:rPr>
              <w:t>□</w:t>
            </w:r>
            <w:r>
              <w:rPr>
                <w:rFonts w:hint="eastAsia"/>
                <w:highlight w:val="yellow"/>
              </w:rPr>
              <w:t xml:space="preserve">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lang w:eastAsia="zh-CN"/>
              </w:rPr>
              <w:t>□</w:t>
            </w:r>
            <w:r>
              <w:rPr>
                <w:rFonts w:hint="eastAsia"/>
                <w:highlight w:val="yellow"/>
              </w:rPr>
              <w:t>节能评估报告编号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2021年1月   日</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节能项目验收报告编号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限额标准  </w:t>
            </w:r>
            <w:r>
              <w:rPr>
                <w:rFonts w:hint="eastAsia"/>
                <w:highlight w:val="yellow"/>
                <w:lang w:eastAsia="zh-CN"/>
              </w:rPr>
              <w:t>☑</w:t>
            </w:r>
            <w:r>
              <w:rPr>
                <w:rFonts w:hint="eastAsia"/>
                <w:highlight w:val="yellow"/>
              </w:rPr>
              <w:t xml:space="preserve">能源计量管理  </w:t>
            </w:r>
            <w:r>
              <w:rPr>
                <w:rFonts w:hint="eastAsia"/>
                <w:highlight w:val="yellow"/>
                <w:lang w:eastAsia="zh-CN"/>
              </w:rPr>
              <w:t>☑</w:t>
            </w:r>
            <w:r>
              <w:rPr>
                <w:rFonts w:hint="eastAsia"/>
                <w:highlight w:val="yellow"/>
              </w:rPr>
              <w:t xml:space="preserve">使用节能设备  </w:t>
            </w:r>
            <w:r>
              <w:rPr>
                <w:rFonts w:hint="eastAsia"/>
                <w:highlight w:val="yellow"/>
                <w:lang w:eastAsia="zh-CN"/>
              </w:rPr>
              <w:t>□</w:t>
            </w:r>
            <w:r>
              <w:rPr>
                <w:rFonts w:hint="eastAsia"/>
                <w:highlight w:val="yellow"/>
              </w:rPr>
              <w:t xml:space="preserve">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p>
            <w:pPr>
              <w:shd w:val="clear" w:color="auto" w:fill="EBF1DE" w:themeFill="accent3" w:themeFillTint="32"/>
              <w:rPr>
                <w:highlight w:val="yellow"/>
              </w:rPr>
            </w:pPr>
            <w:r>
              <w:rPr>
                <w:rFonts w:hint="eastAsia"/>
                <w:highlight w:val="yellow"/>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556"/>
              <w:gridCol w:w="106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节能目标</w:t>
                  </w:r>
                </w:p>
              </w:tc>
              <w:tc>
                <w:tcPr>
                  <w:tcW w:w="2556"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控制措施</w:t>
                  </w:r>
                </w:p>
              </w:tc>
              <w:tc>
                <w:tcPr>
                  <w:tcW w:w="1061"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责任部门</w:t>
                  </w:r>
                </w:p>
              </w:tc>
              <w:tc>
                <w:tcPr>
                  <w:tcW w:w="2415"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color w:val="FF0000"/>
                    </w:rPr>
                  </w:pPr>
                </w:p>
                <w:p>
                  <w:pPr>
                    <w:pStyle w:val="2"/>
                    <w:ind w:left="0" w:leftChars="0" w:firstLine="0" w:firstLineChars="0"/>
                    <w:rPr>
                      <w:rFonts w:hint="default" w:eastAsia="宋体"/>
                      <w:color w:val="FF0000"/>
                      <w:highlight w:val="yellow"/>
                      <w:lang w:val="en-US" w:eastAsia="zh-CN"/>
                    </w:rPr>
                  </w:pPr>
                  <w:r>
                    <w:rPr>
                      <w:rFonts w:hint="eastAsia"/>
                      <w:color w:val="FF0000"/>
                      <w:highlight w:val="yellow"/>
                      <w:lang w:val="en-US" w:eastAsia="zh-CN"/>
                    </w:rPr>
                    <w:t>小于</w:t>
                  </w:r>
                  <w:r>
                    <w:rPr>
                      <w:rFonts w:hint="eastAsia" w:ascii="宋体" w:hAnsi="宋体" w:eastAsia="宋体" w:cs="Times New Roman"/>
                      <w:color w:val="auto"/>
                      <w:kern w:val="2"/>
                      <w:sz w:val="21"/>
                      <w:szCs w:val="22"/>
                      <w:lang w:val="en-US" w:eastAsia="zh-CN" w:bidi="ar-SA"/>
                    </w:rPr>
                    <w:t>182.22kwh/t</w:t>
                  </w:r>
                </w:p>
              </w:tc>
              <w:tc>
                <w:tcPr>
                  <w:tcW w:w="2556" w:type="dxa"/>
                  <w:shd w:val="clear" w:color="auto" w:fill="auto"/>
                  <w:vAlign w:val="center"/>
                </w:tcPr>
                <w:p>
                  <w:pPr>
                    <w:shd w:val="clear" w:color="auto" w:fill="EBF1DE" w:themeFill="accent3" w:themeFillTint="32"/>
                    <w:rPr>
                      <w:rFonts w:hint="default"/>
                      <w:color w:val="FF0000"/>
                      <w:lang w:val="en-US" w:eastAsia="zh-CN"/>
                    </w:rPr>
                  </w:pPr>
                  <w:r>
                    <w:rPr>
                      <w:rFonts w:hint="eastAsia"/>
                      <w:color w:val="FF0000"/>
                      <w:lang w:val="en-US" w:eastAsia="zh-CN"/>
                    </w:rPr>
                    <w:t>加强能源使用管理；</w:t>
                  </w:r>
                </w:p>
                <w:p>
                  <w:pPr>
                    <w:pStyle w:val="2"/>
                    <w:ind w:left="0" w:leftChars="0" w:firstLine="0" w:firstLineChars="0"/>
                    <w:rPr>
                      <w:rFonts w:hint="eastAsia" w:ascii="宋体" w:hAnsi="宋体"/>
                      <w:color w:val="FF0000"/>
                      <w:highlight w:val="none"/>
                      <w:lang w:val="en-US" w:eastAsia="zh-CN"/>
                    </w:rPr>
                  </w:pPr>
                  <w:r>
                    <w:rPr>
                      <w:rFonts w:hint="eastAsia" w:ascii="宋体" w:hAnsi="宋体"/>
                      <w:color w:val="FF0000"/>
                      <w:highlight w:val="none"/>
                      <w:lang w:val="en-US" w:eastAsia="zh-CN"/>
                    </w:rPr>
                    <w:t>降低能源浪费，回收利用；</w:t>
                  </w:r>
                </w:p>
                <w:p>
                  <w:pPr>
                    <w:pStyle w:val="2"/>
                    <w:ind w:left="0" w:leftChars="0" w:firstLine="0" w:firstLineChars="0"/>
                    <w:rPr>
                      <w:rFonts w:hint="default" w:ascii="宋体" w:hAnsi="宋体"/>
                      <w:color w:val="FF0000"/>
                      <w:highlight w:val="none"/>
                      <w:lang w:val="en-US" w:eastAsia="zh-CN"/>
                    </w:rPr>
                  </w:pPr>
                  <w:r>
                    <w:rPr>
                      <w:rFonts w:hint="eastAsia" w:ascii="宋体" w:hAnsi="宋体"/>
                      <w:color w:val="FF0000"/>
                      <w:highlight w:val="none"/>
                      <w:lang w:val="en-US" w:eastAsia="zh-CN"/>
                    </w:rPr>
                    <w:t>平时注意节电、节约。</w:t>
                  </w:r>
                </w:p>
              </w:tc>
              <w:tc>
                <w:tcPr>
                  <w:tcW w:w="1061" w:type="dxa"/>
                  <w:shd w:val="clear" w:color="auto" w:fill="auto"/>
                  <w:vAlign w:val="center"/>
                </w:tcPr>
                <w:p>
                  <w:pPr>
                    <w:shd w:val="clear" w:color="auto" w:fill="EBF1DE" w:themeFill="accent3" w:themeFillTint="32"/>
                    <w:rPr>
                      <w:rFonts w:hint="default" w:eastAsia="宋体"/>
                      <w:color w:val="FF0000"/>
                      <w:highlight w:val="yellow"/>
                      <w:lang w:val="en-US" w:eastAsia="zh-CN"/>
                    </w:rPr>
                  </w:pPr>
                  <w:r>
                    <w:rPr>
                      <w:rFonts w:hint="eastAsia"/>
                      <w:color w:val="FF0000"/>
                      <w:highlight w:val="yellow"/>
                      <w:lang w:val="en-US" w:eastAsia="zh-CN"/>
                    </w:rPr>
                    <w:t>总经办、生产部</w:t>
                  </w:r>
                </w:p>
              </w:tc>
              <w:tc>
                <w:tcPr>
                  <w:tcW w:w="2415" w:type="dxa"/>
                  <w:shd w:val="clear" w:color="auto" w:fill="auto"/>
                  <w:vAlign w:val="center"/>
                </w:tcPr>
                <w:p>
                  <w:pPr>
                    <w:pStyle w:val="2"/>
                    <w:rPr>
                      <w:rFonts w:hint="eastAsia" w:ascii="宋体" w:hAnsi="宋体" w:eastAsia="宋体" w:cs="Times New Roman"/>
                      <w:color w:val="auto"/>
                      <w:kern w:val="2"/>
                      <w:sz w:val="21"/>
                      <w:szCs w:val="22"/>
                      <w:lang w:val="en-US" w:eastAsia="zh-CN" w:bidi="ar-SA"/>
                    </w:rPr>
                  </w:pPr>
                  <w:r>
                    <w:rPr>
                      <w:rFonts w:hint="eastAsia" w:ascii="宋体" w:hAnsi="宋体" w:cs="Times New Roman"/>
                      <w:color w:val="auto"/>
                      <w:kern w:val="2"/>
                      <w:sz w:val="21"/>
                      <w:szCs w:val="22"/>
                      <w:lang w:val="en-US" w:eastAsia="zh-CN" w:bidi="ar-SA"/>
                    </w:rPr>
                    <w:t>148.78</w:t>
                  </w:r>
                  <w:r>
                    <w:rPr>
                      <w:rFonts w:hint="eastAsia" w:ascii="宋体" w:hAnsi="宋体" w:eastAsia="宋体" w:cs="Times New Roman"/>
                      <w:color w:val="auto"/>
                      <w:kern w:val="2"/>
                      <w:sz w:val="21"/>
                      <w:szCs w:val="22"/>
                      <w:lang w:val="en-US" w:eastAsia="zh-CN" w:bidi="ar-SA"/>
                    </w:rPr>
                    <w:t>kwh/t</w:t>
                  </w:r>
                </w:p>
                <w:p>
                  <w:pPr>
                    <w:pStyle w:val="2"/>
                    <w:rPr>
                      <w:rFonts w:hint="default"/>
                      <w:color w:val="FF0000"/>
                      <w:lang w:val="en-US" w:eastAsia="zh-CN"/>
                    </w:rPr>
                  </w:pPr>
                  <w:r>
                    <w:rPr>
                      <w:rFonts w:hint="eastAsia" w:ascii="宋体" w:hAnsi="宋体" w:cs="Times New Roman"/>
                      <w:color w:val="FF0000"/>
                      <w:highlight w:val="yellow"/>
                      <w:lang w:val="en-US" w:eastAsia="zh-CN"/>
                    </w:rPr>
                    <w:t>已经</w:t>
                  </w:r>
                  <w:r>
                    <w:rPr>
                      <w:rFonts w:hint="eastAsia" w:ascii="宋体" w:hAnsi="宋体" w:eastAsia="宋体" w:cs="Times New Roman"/>
                      <w:color w:val="FF0000"/>
                      <w:highlight w:val="yellow"/>
                      <w:lang w:val="en-US" w:eastAsia="zh-CN"/>
                    </w:rPr>
                    <w:t>完</w:t>
                  </w:r>
                  <w:r>
                    <w:rPr>
                      <w:rFonts w:hint="eastAsia" w:ascii="宋体" w:hAnsi="宋体"/>
                      <w:color w:val="FF0000"/>
                      <w:highlight w:val="yellow"/>
                      <w:lang w:val="en-US" w:eastAsia="zh-CN"/>
                    </w:rPr>
                    <w:t>成</w:t>
                  </w:r>
                </w:p>
              </w:tc>
            </w:tr>
          </w:tbl>
          <w:p>
            <w:pPr>
              <w:shd w:val="clear" w:color="auto" w:fill="EBF1DE" w:themeFill="accent3" w:themeFillTint="32"/>
              <w:rPr>
                <w:highlight w:val="yellow"/>
              </w:rPr>
            </w:pPr>
            <w:r>
              <w:rPr>
                <w:rFonts w:hint="eastAsia"/>
                <w:highlight w:val="yellow"/>
              </w:rPr>
              <w:sym w:font="Wingdings" w:char="00A8"/>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FE"/>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FE"/>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FE"/>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highlight w:val="yellow"/>
              </w:rPr>
            </w:pPr>
            <w:r>
              <w:rPr>
                <w:rFonts w:hint="eastAsia"/>
                <w:highlight w:val="yellow"/>
              </w:rPr>
              <w:t>建筑面积</w:t>
            </w:r>
            <w:r>
              <w:rPr>
                <w:rFonts w:hint="eastAsia"/>
                <w:highlight w:val="yellow"/>
                <w:u w:val="single"/>
              </w:rPr>
              <w:t xml:space="preserve">  </w:t>
            </w:r>
            <w:r>
              <w:rPr>
                <w:rFonts w:hint="eastAsia" w:ascii="Times New Roman" w:hAnsi="Times New Roman" w:eastAsia="宋体" w:cs="Times New Roman"/>
                <w:highlight w:val="yellow"/>
                <w:u w:val="single"/>
                <w:lang w:val="en-US" w:eastAsia="zh-CN"/>
              </w:rPr>
              <w:t>36000</w:t>
            </w:r>
            <w:r>
              <w:rPr>
                <w:rFonts w:hint="eastAsia" w:ascii="Times New Roman" w:hAnsi="Times New Roman" w:eastAsia="宋体" w:cs="Times New Roman"/>
                <w:highlight w:val="yellow"/>
                <w:u w:val="single"/>
              </w:rPr>
              <w:t xml:space="preserve"> </w:t>
            </w:r>
            <w:r>
              <w:rPr>
                <w:rFonts w:hint="eastAsia"/>
                <w:highlight w:val="yellow"/>
              </w:rPr>
              <w:t>平方米；生产车间</w:t>
            </w:r>
            <w:r>
              <w:rPr>
                <w:rFonts w:hint="eastAsia"/>
                <w:highlight w:val="yellow"/>
                <w:u w:val="single"/>
              </w:rPr>
              <w:t xml:space="preserve"> </w:t>
            </w:r>
            <w:r>
              <w:rPr>
                <w:rFonts w:hint="eastAsia"/>
                <w:highlight w:val="yellow"/>
                <w:u w:val="single"/>
                <w:lang w:val="en-US" w:eastAsia="zh-CN"/>
              </w:rPr>
              <w:t>5</w:t>
            </w:r>
            <w:r>
              <w:rPr>
                <w:rFonts w:hint="eastAsia"/>
                <w:highlight w:val="yellow"/>
                <w:u w:val="single"/>
              </w:rPr>
              <w:t xml:space="preserve"> </w:t>
            </w:r>
            <w:r>
              <w:rPr>
                <w:rFonts w:hint="eastAsia"/>
                <w:highlight w:val="yellow"/>
              </w:rPr>
              <w:t>个；库房</w:t>
            </w:r>
            <w:r>
              <w:rPr>
                <w:rFonts w:hint="eastAsia"/>
                <w:highlight w:val="yellow"/>
                <w:u w:val="single"/>
              </w:rPr>
              <w:t xml:space="preserve"> </w:t>
            </w:r>
            <w:r>
              <w:rPr>
                <w:rFonts w:hint="eastAsia"/>
                <w:highlight w:val="yellow"/>
                <w:u w:val="single"/>
                <w:lang w:val="en-US" w:eastAsia="zh-CN"/>
              </w:rPr>
              <w:t>2</w:t>
            </w:r>
            <w:r>
              <w:rPr>
                <w:rFonts w:hint="eastAsia"/>
                <w:highlight w:val="yellow"/>
                <w:u w:val="single"/>
              </w:rPr>
              <w:t xml:space="preserve"> </w:t>
            </w:r>
            <w:r>
              <w:rPr>
                <w:rFonts w:hint="eastAsia"/>
                <w:highlight w:val="yellow"/>
              </w:rPr>
              <w:t>个；实验室</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个；</w:t>
            </w:r>
          </w:p>
          <w:p>
            <w:pPr>
              <w:shd w:val="clear" w:color="auto" w:fill="EBF1DE" w:themeFill="accent3" w:themeFillTint="32"/>
              <w:rPr>
                <w:highlight w:val="yellow"/>
                <w:u w:val="single"/>
              </w:rPr>
            </w:pPr>
            <w:r>
              <w:rPr>
                <w:rFonts w:hint="eastAsia"/>
                <w:highlight w:val="yellow"/>
              </w:rPr>
              <w:t>主要生产设备有：</w:t>
            </w:r>
            <w:r>
              <w:rPr>
                <w:rFonts w:hint="eastAsia"/>
                <w:highlight w:val="yellow"/>
                <w:u w:val="single"/>
              </w:rPr>
              <w:t xml:space="preserve"> </w:t>
            </w:r>
            <w:r>
              <w:rPr>
                <w:rFonts w:hint="eastAsia"/>
                <w:highlight w:val="yellow"/>
                <w:u w:val="single"/>
                <w:lang w:val="en-US" w:eastAsia="zh-CN"/>
              </w:rPr>
              <w:t>枕头生产线、海绵生产线、混合搅拌机、缝纫机</w:t>
            </w:r>
            <w:r>
              <w:rPr>
                <w:rFonts w:hint="eastAsia"/>
                <w:highlight w:val="yellow"/>
                <w:u w:val="single"/>
              </w:rPr>
              <w:t>（列举2~4种）</w:t>
            </w:r>
          </w:p>
          <w:p>
            <w:pPr>
              <w:shd w:val="clear" w:color="auto" w:fill="EBF1DE" w:themeFill="accent3" w:themeFillTint="32"/>
              <w:rPr>
                <w:highlight w:val="yellow"/>
                <w:u w:val="single"/>
              </w:rPr>
            </w:pPr>
            <w:r>
              <w:rPr>
                <w:rFonts w:hint="eastAsia"/>
                <w:highlight w:val="yellow"/>
              </w:rPr>
              <w:t>主要耗能设备有：</w:t>
            </w:r>
            <w:r>
              <w:rPr>
                <w:rFonts w:hint="eastAsia"/>
                <w:highlight w:val="yellow"/>
                <w:u w:val="single"/>
                <w:lang w:val="en-US" w:eastAsia="zh-CN"/>
              </w:rPr>
              <w:t>枕头生产线、海绵生产线、混合搅拌机、缝纫机</w:t>
            </w:r>
            <w:r>
              <w:rPr>
                <w:rFonts w:hint="eastAsia"/>
                <w:highlight w:val="yellow"/>
                <w:u w:val="single"/>
              </w:rPr>
              <w:t>（列举2~4种）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A8"/>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A8"/>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FE"/>
            </w:r>
            <w:r>
              <w:rPr>
                <w:rFonts w:hint="eastAsia"/>
                <w:highlight w:val="yellow"/>
              </w:rPr>
              <w:t xml:space="preserve">高压配电室 </w:t>
            </w:r>
            <w:r>
              <w:rPr>
                <w:rFonts w:hint="eastAsia"/>
                <w:highlight w:val="yellow"/>
              </w:rPr>
              <w:sym w:font="Wingdings" w:char="00FE"/>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A8"/>
            </w:r>
            <w:r>
              <w:rPr>
                <w:rFonts w:hint="eastAsia"/>
                <w:highlight w:val="yellow"/>
              </w:rPr>
              <w:t xml:space="preserve">锅炉房 </w:t>
            </w:r>
            <w:r>
              <w:rPr>
                <w:rFonts w:hint="eastAsia"/>
                <w:highlight w:val="yellow"/>
              </w:rPr>
              <w:sym w:font="Wingdings" w:char="00A8"/>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rFonts w:hint="eastAsia" w:eastAsia="宋体"/>
                <w:highlight w:val="yellow"/>
                <w:u w:val="single"/>
                <w:lang w:eastAsia="zh-CN"/>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电表、水表</w:t>
            </w:r>
            <w:r>
              <w:rPr>
                <w:rFonts w:hint="eastAsia"/>
                <w:highlight w:val="yellow"/>
                <w:u w:val="single"/>
              </w:rPr>
              <w:t xml:space="preserve"> （列举1~4种）</w:t>
            </w:r>
            <w:r>
              <w:rPr>
                <w:rFonts w:hint="eastAsia"/>
                <w:highlight w:val="yellow"/>
                <w:u w:val="single"/>
                <w:lang w:eastAsia="zh-CN"/>
              </w:rPr>
              <w:t>（</w:t>
            </w:r>
            <w:r>
              <w:rPr>
                <w:rFonts w:hint="eastAsia"/>
                <w:highlight w:val="yellow"/>
                <w:u w:val="single"/>
                <w:lang w:val="en-US" w:eastAsia="zh-CN"/>
              </w:rPr>
              <w:t>电表和水表分别由供电公司和供水公司负责校检</w:t>
            </w:r>
            <w:r>
              <w:rPr>
                <w:rFonts w:hint="eastAsia"/>
                <w:highlight w:val="yellow"/>
                <w:u w:val="single"/>
                <w:lang w:eastAsia="zh-CN"/>
              </w:rPr>
              <w:t>）</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A8"/>
            </w:r>
            <w:r>
              <w:rPr>
                <w:rFonts w:hint="eastAsia"/>
                <w:highlight w:val="yellow"/>
              </w:rPr>
              <w:t xml:space="preserve">未进行定期校准/检定的有： </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A8"/>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w:t>
            </w:r>
            <w:r>
              <w:rPr>
                <w:rFonts w:hint="eastAsia"/>
                <w:highlight w:val="yellow"/>
                <w:lang w:eastAsia="zh-CN"/>
              </w:rPr>
              <w:t>☑</w:t>
            </w:r>
            <w:r>
              <w:rPr>
                <w:rFonts w:hint="eastAsia"/>
                <w:highlight w:val="yellow"/>
              </w:rPr>
              <w:t>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000000" w:themeColor="text1"/>
                <w:highlight w:val="yellow"/>
              </w:rPr>
            </w:pPr>
            <w:r>
              <w:rPr>
                <w:rFonts w:hint="eastAsia"/>
                <w:color w:val="000000" w:themeColor="text1"/>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000000" w:themeColor="text1"/>
                <w:highlight w:val="yellow"/>
              </w:rPr>
              <w:t xml:space="preserve"> </w:t>
            </w:r>
            <w:r>
              <w:rPr>
                <w:rFonts w:hint="eastAsia"/>
                <w:color w:val="000000" w:themeColor="text1"/>
                <w:highlight w:val="yellow"/>
              </w:rPr>
              <w:sym w:font="Wingdings" w:char="00FE"/>
            </w:r>
            <w:r>
              <w:rPr>
                <w:rFonts w:hint="eastAsia"/>
                <w:color w:val="000000" w:themeColor="text1"/>
                <w:highlight w:val="yellow"/>
              </w:rPr>
              <w:t xml:space="preserve">操作规程 </w:t>
            </w:r>
            <w:r>
              <w:rPr>
                <w:rFonts w:hint="eastAsia"/>
                <w:color w:val="000000" w:themeColor="text1"/>
                <w:highlight w:val="yellow"/>
              </w:rPr>
              <w:sym w:font="Wingdings" w:char="00FE"/>
            </w:r>
            <w:r>
              <w:rPr>
                <w:rFonts w:hint="eastAsia"/>
                <w:color w:val="000000" w:themeColor="text1"/>
                <w:highlight w:val="yellow"/>
              </w:rPr>
              <w:t xml:space="preserve">作业文件  </w:t>
            </w:r>
            <w:r>
              <w:rPr>
                <w:rFonts w:hint="eastAsia"/>
                <w:color w:val="000000" w:themeColor="text1"/>
                <w:highlight w:val="yellow"/>
              </w:rPr>
              <w:sym w:font="Wingdings" w:char="00FE"/>
            </w:r>
            <w:r>
              <w:rPr>
                <w:rFonts w:hint="eastAsia"/>
                <w:color w:val="000000" w:themeColor="text1"/>
                <w:highlight w:val="yellow"/>
              </w:rPr>
              <w:t xml:space="preserve">工艺卡片   </w:t>
            </w:r>
            <w:r>
              <w:rPr>
                <w:rFonts w:hint="eastAsia"/>
                <w:color w:val="000000" w:themeColor="text1"/>
                <w:highlight w:val="yellow"/>
              </w:rPr>
              <w:sym w:font="Wingdings" w:char="00FE"/>
            </w:r>
            <w:r>
              <w:rPr>
                <w:rFonts w:hint="eastAsia"/>
                <w:color w:val="000000" w:themeColor="text1"/>
                <w:highlight w:val="yellow"/>
              </w:rPr>
              <w:t xml:space="preserve">接收准则  </w:t>
            </w:r>
            <w:r>
              <w:rPr>
                <w:rFonts w:hint="eastAsia"/>
                <w:color w:val="000000" w:themeColor="text1"/>
                <w:highlight w:val="yellow"/>
              </w:rPr>
              <w:sym w:font="Wingdings" w:char="00FE"/>
            </w:r>
            <w:r>
              <w:rPr>
                <w:rFonts w:hint="eastAsia"/>
                <w:color w:val="000000" w:themeColor="text1"/>
                <w:highlight w:val="yellow"/>
              </w:rPr>
              <w:t xml:space="preserve">工艺流程图  </w:t>
            </w:r>
            <w:r>
              <w:rPr>
                <w:rFonts w:hint="eastAsia"/>
                <w:color w:val="000000" w:themeColor="text1"/>
                <w:highlight w:val="yellow"/>
              </w:rPr>
              <w:sym w:font="Wingdings" w:char="00A8"/>
            </w:r>
            <w:r>
              <w:rPr>
                <w:rFonts w:hint="eastAsia"/>
                <w:color w:val="000000" w:themeColor="text1"/>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rPr>
              <w:t xml:space="preserve">  </w:t>
            </w:r>
            <w:r>
              <w:rPr>
                <w:rFonts w:hint="eastAsia"/>
                <w:color w:val="FF0000"/>
                <w:highlight w:val="yellow"/>
                <w:u w:val="single"/>
                <w:lang w:val="en-US" w:eastAsia="zh-CN"/>
              </w:rPr>
              <w:t>海绵体胸罩。</w:t>
            </w:r>
            <w:r>
              <w:rPr>
                <w:rFonts w:hint="eastAsia"/>
                <w:highlight w:val="yellow"/>
                <w:u w:val="single"/>
              </w:rPr>
              <w:t xml:space="preserve"> （</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FE"/>
            </w:r>
            <w:r>
              <w:rPr>
                <w:rFonts w:hint="eastAsia"/>
                <w:highlight w:val="yellow"/>
              </w:rPr>
              <w:t xml:space="preserve">能源采购 </w:t>
            </w:r>
            <w:r>
              <w:rPr>
                <w:rFonts w:hint="eastAsia"/>
                <w:highlight w:val="yellow"/>
              </w:rPr>
              <w:sym w:font="Wingdings" w:char="00FE"/>
            </w:r>
            <w:r>
              <w:rPr>
                <w:rFonts w:hint="eastAsia"/>
                <w:highlight w:val="yellow"/>
              </w:rPr>
              <w:t xml:space="preserve">主要用能设备采购  </w:t>
            </w:r>
            <w:r>
              <w:rPr>
                <w:rFonts w:hint="eastAsia"/>
                <w:highlight w:val="yellow"/>
              </w:rPr>
              <w:sym w:font="Wingdings" w:char="00FE"/>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FE"/>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shd w:val="clear" w:color="auto" w:fill="EBF1DE" w:themeFill="accent3" w:themeFillTint="32"/>
                    <w:jc w:val="left"/>
                    <w:rPr>
                      <w:rFonts w:hint="eastAsia"/>
                      <w:lang w:val="en-US" w:eastAsia="zh-CN"/>
                    </w:rPr>
                  </w:pPr>
                  <w:r>
                    <w:rPr>
                      <w:rFonts w:hint="eastAsia"/>
                      <w:lang w:val="en-US" w:eastAsia="zh-CN"/>
                    </w:rPr>
                    <w:t>1、加强用电设备的管理，提高设备运行效率。</w:t>
                  </w:r>
                </w:p>
                <w:p>
                  <w:pPr>
                    <w:shd w:val="clear" w:color="auto" w:fill="EBF1DE" w:themeFill="accent3" w:themeFillTint="32"/>
                    <w:jc w:val="left"/>
                    <w:rPr>
                      <w:rFonts w:hint="eastAsia"/>
                      <w:lang w:val="en-US" w:eastAsia="zh-CN"/>
                    </w:rPr>
                  </w:pPr>
                  <w:r>
                    <w:rPr>
                      <w:rFonts w:hint="eastAsia"/>
                      <w:lang w:val="en-US" w:eastAsia="zh-CN"/>
                    </w:rPr>
                    <w:t>2、防治设备超负荷运转。</w:t>
                  </w:r>
                </w:p>
                <w:p>
                  <w:pPr>
                    <w:pStyle w:val="2"/>
                    <w:ind w:left="0" w:leftChars="0" w:firstLine="0" w:firstLineChars="0"/>
                    <w:rPr>
                      <w:rFonts w:hint="default"/>
                      <w:lang w:val="en-US"/>
                    </w:rPr>
                  </w:pPr>
                  <w:r>
                    <w:rPr>
                      <w:rFonts w:hint="eastAsia"/>
                      <w:highlight w:val="yellow"/>
                      <w:lang w:val="en-US" w:eastAsia="zh-CN"/>
                    </w:rPr>
                    <w:t>3、防治空车运转。</w:t>
                  </w:r>
                </w:p>
              </w:tc>
              <w:tc>
                <w:tcPr>
                  <w:tcW w:w="3265" w:type="dxa"/>
                </w:tcPr>
                <w:p>
                  <w:pPr>
                    <w:shd w:val="clear" w:color="auto" w:fill="EBF1DE" w:themeFill="accent3" w:themeFillTint="32"/>
                    <w:jc w:val="left"/>
                    <w:rPr>
                      <w:rFonts w:hint="eastAsia" w:eastAsia="宋体"/>
                      <w:highlight w:val="yellow"/>
                      <w:lang w:val="en-US" w:eastAsia="zh-CN"/>
                    </w:rPr>
                  </w:pPr>
                  <w:r>
                    <w:rPr>
                      <w:rFonts w:hint="eastAsia"/>
                      <w:highlight w:val="yellow"/>
                      <w:lang w:val="en-US" w:eastAsia="zh-CN"/>
                    </w:rPr>
                    <w:t>良好</w:t>
                  </w: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A8"/>
            </w:r>
            <w:r>
              <w:rPr>
                <w:rFonts w:hint="eastAsia"/>
                <w:highlight w:val="yellow"/>
              </w:rPr>
              <w:t>定期（每年） ：</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12</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A8"/>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A8"/>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highlight w:val="yellow"/>
                <w:u w:val="single"/>
              </w:rPr>
              <w:t xml:space="preserve"> </w:t>
            </w:r>
            <w:r>
              <w:rPr>
                <w:rFonts w:hint="eastAsia" w:eastAsia="宋体"/>
                <w:highlight w:val="yellow"/>
                <w:u w:val="single"/>
                <w:lang w:val="en-US" w:eastAsia="zh-CN"/>
              </w:rPr>
              <w:t>2021</w:t>
            </w:r>
            <w:r>
              <w:rPr>
                <w:rFonts w:hint="eastAsia" w:eastAsia="宋体"/>
                <w:highlight w:val="yellow"/>
                <w:u w:val="single"/>
              </w:rPr>
              <w:t>年</w:t>
            </w:r>
            <w:r>
              <w:rPr>
                <w:rFonts w:hint="eastAsia" w:eastAsia="宋体"/>
                <w:highlight w:val="yellow"/>
                <w:u w:val="single"/>
                <w:lang w:val="en-US" w:eastAsia="zh-CN"/>
              </w:rPr>
              <w:t>5</w:t>
            </w:r>
            <w:r>
              <w:rPr>
                <w:rFonts w:hint="eastAsia" w:eastAsia="宋体"/>
                <w:highlight w:val="yellow"/>
                <w:u w:val="single"/>
              </w:rPr>
              <w:t>月</w:t>
            </w:r>
            <w:r>
              <w:rPr>
                <w:rFonts w:hint="eastAsia" w:eastAsia="宋体"/>
                <w:highlight w:val="yellow"/>
                <w:u w:val="single"/>
                <w:lang w:val="en-US" w:eastAsia="zh-CN"/>
              </w:rPr>
              <w:t xml:space="preserve">10 </w:t>
            </w:r>
            <w:r>
              <w:rPr>
                <w:rFonts w:hint="eastAsia" w:eastAsia="宋体"/>
                <w:highlight w:val="yellow"/>
                <w:u w:val="single"/>
              </w:rPr>
              <w:t>日</w:t>
            </w:r>
            <w:r>
              <w:rPr>
                <w:rFonts w:hint="eastAsia"/>
                <w:highlight w:val="yellow"/>
              </w:rPr>
              <w:t>实施了能源管理体系内部审核，对能源管理体系的符合性和有效性进行了审核。内审发现的</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A8"/>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5</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24</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检测结果不合格 </w:t>
            </w:r>
            <w:r>
              <w:rPr>
                <w:rFonts w:hint="eastAsia"/>
                <w:highlight w:val="yellow"/>
              </w:rPr>
              <w:sym w:font="Wingdings" w:char="00FE"/>
            </w:r>
            <w:r>
              <w:rPr>
                <w:rFonts w:hint="eastAsia"/>
                <w:highlight w:val="yellow"/>
              </w:rPr>
              <w:t xml:space="preserve">自我检查的结果  </w:t>
            </w:r>
            <w:r>
              <w:rPr>
                <w:rFonts w:hint="eastAsia"/>
                <w:highlight w:val="yellow"/>
              </w:rPr>
              <w:sym w:font="Wingdings" w:char="00FE"/>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US" w:eastAsia="zh-CN"/>
              </w:rPr>
              <w:t>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US" w:eastAsia="zh-CN"/>
              </w:rPr>
              <w:t>1</w:t>
            </w:r>
            <w:bookmarkStart w:id="8" w:name="_GoBack"/>
            <w:bookmarkEnd w:id="8"/>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7"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7"/>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D719"/>
    <w:multiLevelType w:val="singleLevel"/>
    <w:tmpl w:val="A19DD719"/>
    <w:lvl w:ilvl="0" w:tentative="0">
      <w:start w:val="5"/>
      <w:numFmt w:val="chineseCounting"/>
      <w:suff w:val="nothing"/>
      <w:lvlText w:val="%1、"/>
      <w:lvlJc w:val="left"/>
      <w:rPr>
        <w:rFonts w:hint="eastAsia"/>
      </w:rPr>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1F5452E"/>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93C4240"/>
    <w:rsid w:val="09713483"/>
    <w:rsid w:val="09B63CA5"/>
    <w:rsid w:val="09D154C9"/>
    <w:rsid w:val="09DB7BDC"/>
    <w:rsid w:val="0A6004F8"/>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68C2F3F"/>
    <w:rsid w:val="184E1945"/>
    <w:rsid w:val="18C04DA6"/>
    <w:rsid w:val="1914584E"/>
    <w:rsid w:val="19C9634C"/>
    <w:rsid w:val="19F41442"/>
    <w:rsid w:val="1A7C511D"/>
    <w:rsid w:val="1B0E7427"/>
    <w:rsid w:val="1B123CDB"/>
    <w:rsid w:val="1B27032A"/>
    <w:rsid w:val="1B3D6AD2"/>
    <w:rsid w:val="1C440198"/>
    <w:rsid w:val="1CCA7E2F"/>
    <w:rsid w:val="1CEE3B97"/>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76A1BA1"/>
    <w:rsid w:val="282D2075"/>
    <w:rsid w:val="287D37C7"/>
    <w:rsid w:val="294B2CEA"/>
    <w:rsid w:val="298266E7"/>
    <w:rsid w:val="298E75E3"/>
    <w:rsid w:val="29A5000B"/>
    <w:rsid w:val="2A351B1D"/>
    <w:rsid w:val="2A4B433E"/>
    <w:rsid w:val="2ABD43D7"/>
    <w:rsid w:val="2B59267F"/>
    <w:rsid w:val="2C083DC0"/>
    <w:rsid w:val="2C9C5862"/>
    <w:rsid w:val="2CD15CF9"/>
    <w:rsid w:val="2CDC1CAC"/>
    <w:rsid w:val="2CE76A45"/>
    <w:rsid w:val="2D312279"/>
    <w:rsid w:val="2D8F5297"/>
    <w:rsid w:val="2D9D2412"/>
    <w:rsid w:val="2DBB15EE"/>
    <w:rsid w:val="2EBA64CC"/>
    <w:rsid w:val="2EFC2199"/>
    <w:rsid w:val="2F5A01F6"/>
    <w:rsid w:val="2F613FED"/>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245C09"/>
    <w:rsid w:val="3A2B65EA"/>
    <w:rsid w:val="3ACF0C29"/>
    <w:rsid w:val="3C6210A8"/>
    <w:rsid w:val="3CF27344"/>
    <w:rsid w:val="3EAD396E"/>
    <w:rsid w:val="3F0F4FB2"/>
    <w:rsid w:val="3FA04660"/>
    <w:rsid w:val="401B73D5"/>
    <w:rsid w:val="414E4D29"/>
    <w:rsid w:val="41847DAD"/>
    <w:rsid w:val="41FE1CA2"/>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9E34722"/>
    <w:rsid w:val="4A530618"/>
    <w:rsid w:val="4A70065F"/>
    <w:rsid w:val="4B4A3A22"/>
    <w:rsid w:val="4B6704D7"/>
    <w:rsid w:val="4BA55DEE"/>
    <w:rsid w:val="4BB00240"/>
    <w:rsid w:val="4C8978AB"/>
    <w:rsid w:val="4DE97690"/>
    <w:rsid w:val="4E0062C7"/>
    <w:rsid w:val="4FEB67B2"/>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A3B3B82"/>
    <w:rsid w:val="5B6A7D08"/>
    <w:rsid w:val="5BDA4AFE"/>
    <w:rsid w:val="5BDB5999"/>
    <w:rsid w:val="5C1E2A73"/>
    <w:rsid w:val="5CD856E3"/>
    <w:rsid w:val="5CDD1C2D"/>
    <w:rsid w:val="5D34054A"/>
    <w:rsid w:val="5DE6027C"/>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EE6717"/>
    <w:rsid w:val="66FE3A08"/>
    <w:rsid w:val="67972F1E"/>
    <w:rsid w:val="680C6625"/>
    <w:rsid w:val="6A524488"/>
    <w:rsid w:val="6A804EF2"/>
    <w:rsid w:val="6B480735"/>
    <w:rsid w:val="6CC73384"/>
    <w:rsid w:val="6D6D0B45"/>
    <w:rsid w:val="6DD62184"/>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BE64C6"/>
    <w:rsid w:val="75C96B43"/>
    <w:rsid w:val="75D3171F"/>
    <w:rsid w:val="768253C4"/>
    <w:rsid w:val="76AB1BE4"/>
    <w:rsid w:val="76BF04D0"/>
    <w:rsid w:val="76C56A0A"/>
    <w:rsid w:val="770E2676"/>
    <w:rsid w:val="77492494"/>
    <w:rsid w:val="77813A26"/>
    <w:rsid w:val="77B50811"/>
    <w:rsid w:val="7827378D"/>
    <w:rsid w:val="786F4330"/>
    <w:rsid w:val="78BA6056"/>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0</TotalTime>
  <ScaleCrop>false</ScaleCrop>
  <LinksUpToDate>false</LinksUpToDate>
  <CharactersWithSpaces>31559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2021-07-01T02:38:28Z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877CCA1F8A9C4C4781CF239D11E3B870</vt:lpwstr>
  </property>
</Properties>
</file>