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155"/>
        <w:gridCol w:w="980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55" w:type="dxa"/>
            <w:vMerge w:val="restart"/>
            <w:vAlign w:val="center"/>
          </w:tcPr>
          <w:p>
            <w:pPr>
              <w:rPr>
                <w:sz w:val="24"/>
                <w:szCs w:val="24"/>
              </w:rPr>
            </w:pPr>
            <w:r>
              <w:rPr>
                <w:rFonts w:hint="eastAsia"/>
                <w:sz w:val="24"/>
                <w:szCs w:val="24"/>
              </w:rPr>
              <w:t>涉及</w:t>
            </w:r>
          </w:p>
          <w:p>
            <w:r>
              <w:rPr>
                <w:rFonts w:hint="eastAsia"/>
                <w:sz w:val="24"/>
                <w:szCs w:val="24"/>
              </w:rPr>
              <w:t>条款</w:t>
            </w:r>
          </w:p>
        </w:tc>
        <w:tc>
          <w:tcPr>
            <w:tcW w:w="9809"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行政部            </w:t>
            </w:r>
            <w:r>
              <w:rPr>
                <w:rFonts w:hint="eastAsia"/>
                <w:sz w:val="24"/>
                <w:szCs w:val="24"/>
              </w:rPr>
              <w:t>主管领导：</w:t>
            </w:r>
            <w:r>
              <w:rPr>
                <w:rFonts w:hint="eastAsia"/>
                <w:sz w:val="24"/>
                <w:szCs w:val="24"/>
                <w:lang w:val="en-US" w:eastAsia="zh-CN"/>
              </w:rPr>
              <w:t xml:space="preserve">舒霖       </w:t>
            </w:r>
            <w:r>
              <w:rPr>
                <w:rFonts w:hint="eastAsia"/>
                <w:sz w:val="24"/>
                <w:szCs w:val="24"/>
              </w:rPr>
              <w:t>陪同人员：</w:t>
            </w:r>
            <w:r>
              <w:rPr>
                <w:rFonts w:hint="eastAsia"/>
                <w:sz w:val="24"/>
                <w:szCs w:val="24"/>
                <w:lang w:eastAsia="zh-CN"/>
              </w:rPr>
              <w:t>钟华建</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155" w:type="dxa"/>
            <w:vMerge w:val="continue"/>
            <w:vAlign w:val="center"/>
          </w:tcPr>
          <w:p/>
        </w:tc>
        <w:tc>
          <w:tcPr>
            <w:tcW w:w="9809"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褚敏杰  刘秋秋 文波   </w:t>
            </w:r>
            <w:r>
              <w:rPr>
                <w:rFonts w:hint="eastAsia"/>
                <w:sz w:val="24"/>
                <w:szCs w:val="24"/>
              </w:rPr>
              <w:t>审核时间：</w:t>
            </w:r>
            <w:r>
              <w:rPr>
                <w:rFonts w:hint="eastAsia"/>
                <w:sz w:val="24"/>
                <w:szCs w:val="24"/>
                <w:lang w:val="en-US" w:eastAsia="zh-CN"/>
              </w:rPr>
              <w:t>2021.6.15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155" w:type="dxa"/>
            <w:vMerge w:val="continue"/>
            <w:vAlign w:val="center"/>
          </w:tcPr>
          <w:p/>
        </w:tc>
        <w:tc>
          <w:tcPr>
            <w:tcW w:w="9809" w:type="dxa"/>
            <w:vAlign w:val="center"/>
          </w:tcPr>
          <w:p>
            <w:pPr>
              <w:rPr>
                <w:rFonts w:hint="eastAsia"/>
                <w:sz w:val="24"/>
                <w:szCs w:val="24"/>
              </w:rPr>
            </w:pPr>
            <w:r>
              <w:rPr>
                <w:rFonts w:hint="eastAsia"/>
                <w:sz w:val="24"/>
                <w:szCs w:val="24"/>
              </w:rPr>
              <w:t>审核条款：</w:t>
            </w:r>
          </w:p>
          <w:p>
            <w:pPr>
              <w:rPr>
                <w:rFonts w:hint="eastAsia" w:ascii="宋体" w:hAnsi="宋体" w:eastAsia="宋体" w:cs="Arial"/>
                <w:spacing w:val="-6"/>
                <w:sz w:val="21"/>
                <w:szCs w:val="21"/>
                <w:lang w:val="en-US" w:eastAsia="zh-CN"/>
              </w:rPr>
            </w:pPr>
            <w:r>
              <w:rPr>
                <w:rFonts w:hint="eastAsia" w:ascii="宋体" w:hAnsi="宋体" w:eastAsia="宋体" w:cs="Arial"/>
                <w:color w:val="auto"/>
                <w:spacing w:val="-6"/>
                <w:sz w:val="21"/>
                <w:szCs w:val="21"/>
                <w:highlight w:val="none"/>
                <w:lang w:val="en-US" w:eastAsia="zh-CN"/>
              </w:rPr>
              <w:t>QMS：5.3组织的岗位、职责和权限、6.2质量目标、7.1.2</w:t>
            </w:r>
            <w:r>
              <w:rPr>
                <w:rFonts w:hint="eastAsia" w:ascii="宋体" w:hAnsi="宋体" w:eastAsia="宋体" w:cs="Arial"/>
                <w:color w:val="auto"/>
                <w:spacing w:val="-6"/>
                <w:sz w:val="21"/>
                <w:szCs w:val="21"/>
                <w:lang w:val="en-US" w:eastAsia="zh-CN"/>
              </w:rPr>
              <w:t>人员、7.1.3基础设施、7.1.4</w:t>
            </w:r>
            <w:r>
              <w:rPr>
                <w:rFonts w:hint="eastAsia" w:ascii="宋体" w:hAnsi="宋体" w:eastAsia="宋体" w:cs="Arial"/>
                <w:spacing w:val="-6"/>
                <w:sz w:val="21"/>
                <w:szCs w:val="21"/>
                <w:lang w:val="en-US" w:eastAsia="zh-CN"/>
              </w:rPr>
              <w:t>过程运行环境、7.1.6组织知识、7.2能力、7.3意识、7.5形成文件的信息、9.1.1监视、测量、分析和评价总则、9.1.3分析与评价、9.2内部审核、10.2不合格和纠正措施；</w:t>
            </w:r>
          </w:p>
          <w:p>
            <w:pPr>
              <w:rPr>
                <w:rFonts w:hint="eastAsia"/>
                <w:sz w:val="24"/>
                <w:szCs w:val="24"/>
              </w:rPr>
            </w:pPr>
            <w:r>
              <w:rPr>
                <w:rFonts w:hint="eastAsia" w:ascii="宋体" w:hAnsi="宋体" w:eastAsia="宋体" w:cs="Arial"/>
                <w:spacing w:val="-6"/>
                <w:sz w:val="21"/>
                <w:szCs w:val="21"/>
                <w:lang w:val="en-US" w:eastAsia="zh-CN"/>
              </w:rPr>
              <w:t>EMS：5.3组织的岗位、职责和权限、6.1.2环境因素辨识与评价识别与评价、6.1.4控制措施的策划、6.1.3合规义务、9.1.2合规性评价、6.2环境目标及实现目标措施的策划、7.1资源、7.2能力、7.3意识、7.5形成文件的信息、8.1运行策划和控制、8.2应急准备和响应</w:t>
            </w:r>
            <w:r>
              <w:rPr>
                <w:rFonts w:hint="eastAsia" w:ascii="宋体" w:hAnsi="宋体" w:eastAsia="宋体" w:cs="Arial"/>
                <w:spacing w:val="-6"/>
                <w:sz w:val="21"/>
                <w:szCs w:val="21"/>
                <w:highlight w:val="none"/>
                <w:lang w:val="en-US" w:eastAsia="zh-CN"/>
              </w:rPr>
              <w:t>、9.1.1监视、测量、</w:t>
            </w:r>
            <w:r>
              <w:rPr>
                <w:rFonts w:hint="eastAsia" w:ascii="宋体" w:hAnsi="宋体" w:eastAsia="宋体" w:cs="Arial"/>
                <w:spacing w:val="-6"/>
                <w:sz w:val="21"/>
                <w:szCs w:val="21"/>
                <w:lang w:val="en-US" w:eastAsia="zh-CN"/>
              </w:rPr>
              <w:t>分析和评价总则、9.2内部审核、10.2不符合/事件和纠正措施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auto"/>
              <w:jc w:val="center"/>
              <w:rPr>
                <w:rFonts w:ascii="Times New Roman" w:hAnsi="Times New Roman" w:eastAsia="宋体" w:cs="Times New Roman"/>
                <w:b/>
                <w:kern w:val="2"/>
                <w:sz w:val="21"/>
                <w:szCs w:val="21"/>
                <w:lang w:val="en-US" w:eastAsia="zh-CN" w:bidi="ar-SA"/>
              </w:rPr>
            </w:pPr>
            <w:r>
              <w:rPr>
                <w:rFonts w:hAnsi="宋体"/>
                <w:szCs w:val="21"/>
              </w:rPr>
              <w:t>组织的岗位、职责和权限</w:t>
            </w:r>
          </w:p>
        </w:tc>
        <w:tc>
          <w:tcPr>
            <w:tcW w:w="1155" w:type="dxa"/>
            <w:vAlign w:val="center"/>
          </w:tcPr>
          <w:p>
            <w:pPr>
              <w:spacing w:line="360" w:lineRule="auto"/>
              <w:jc w:val="center"/>
              <w:rPr>
                <w:rFonts w:ascii="Times New Roman" w:hAnsi="Times New Roman" w:eastAsia="宋体" w:cs="Times New Roman"/>
                <w:kern w:val="2"/>
                <w:sz w:val="21"/>
                <w:szCs w:val="21"/>
                <w:lang w:val="en-US" w:eastAsia="zh-CN" w:bidi="ar-SA"/>
              </w:rPr>
            </w:pPr>
            <w:r>
              <w:rPr>
                <w:szCs w:val="21"/>
              </w:rPr>
              <w:t>QE 5.3</w:t>
            </w:r>
          </w:p>
        </w:tc>
        <w:tc>
          <w:tcPr>
            <w:tcW w:w="9809" w:type="dxa"/>
          </w:tcPr>
          <w:p>
            <w:pPr>
              <w:spacing w:line="360" w:lineRule="auto"/>
              <w:ind w:firstLine="420" w:firstLineChars="200"/>
              <w:rPr>
                <w:rFonts w:hint="eastAsia" w:hAnsi="宋体"/>
                <w:szCs w:val="21"/>
                <w:highlight w:val="none"/>
              </w:rPr>
            </w:pPr>
            <w:r>
              <w:rPr>
                <w:rFonts w:hint="eastAsia" w:hAnsi="宋体"/>
                <w:szCs w:val="21"/>
                <w:highlight w:val="none"/>
              </w:rPr>
              <w:t>行政部现有</w:t>
            </w:r>
            <w:r>
              <w:rPr>
                <w:rFonts w:hint="eastAsia" w:hAnsi="宋体"/>
                <w:szCs w:val="21"/>
                <w:highlight w:val="none"/>
                <w:lang w:val="en-US" w:eastAsia="zh-CN"/>
              </w:rPr>
              <w:t>3</w:t>
            </w:r>
            <w:r>
              <w:rPr>
                <w:rFonts w:hint="eastAsia" w:hAnsi="宋体"/>
                <w:szCs w:val="21"/>
                <w:highlight w:val="none"/>
              </w:rPr>
              <w:t>人</w:t>
            </w:r>
            <w:r>
              <w:rPr>
                <w:rFonts w:hint="eastAsia" w:hAnsi="宋体"/>
                <w:szCs w:val="21"/>
                <w:highlight w:val="none"/>
                <w:lang w:eastAsia="zh-CN"/>
              </w:rPr>
              <w:t>，</w:t>
            </w:r>
            <w:r>
              <w:rPr>
                <w:rFonts w:hint="eastAsia" w:hAnsi="宋体"/>
                <w:szCs w:val="21"/>
                <w:highlight w:val="none"/>
                <w:lang w:val="en-US" w:eastAsia="zh-CN"/>
              </w:rPr>
              <w:t>主管1人，管理人员2人；</w:t>
            </w:r>
          </w:p>
          <w:p>
            <w:pPr>
              <w:spacing w:line="360" w:lineRule="auto"/>
              <w:ind w:firstLine="420" w:firstLineChars="200"/>
              <w:rPr>
                <w:rFonts w:hint="eastAsia" w:hAnsi="宋体"/>
                <w:szCs w:val="21"/>
                <w:highlight w:val="none"/>
              </w:rPr>
            </w:pPr>
            <w:r>
              <w:rPr>
                <w:rFonts w:hint="eastAsia" w:hAnsi="宋体"/>
                <w:szCs w:val="21"/>
                <w:highlight w:val="none"/>
              </w:rPr>
              <w:t>主要负责：人力资源</w:t>
            </w:r>
            <w:r>
              <w:rPr>
                <w:rFonts w:hint="eastAsia" w:hAnsi="宋体"/>
                <w:szCs w:val="21"/>
                <w:highlight w:val="none"/>
                <w:lang w:val="en-US" w:eastAsia="zh-CN"/>
              </w:rPr>
              <w:t>管理、基础设施管理、行政管理、</w:t>
            </w:r>
            <w:r>
              <w:rPr>
                <w:rFonts w:hint="eastAsia" w:hAnsi="宋体"/>
                <w:szCs w:val="21"/>
                <w:highlight w:val="none"/>
              </w:rPr>
              <w:t>后勤事务管理；</w:t>
            </w:r>
          </w:p>
          <w:p>
            <w:pPr>
              <w:spacing w:line="360" w:lineRule="auto"/>
              <w:ind w:firstLine="420" w:firstLineChars="200"/>
              <w:rPr>
                <w:rFonts w:hint="eastAsia" w:hAnsi="宋体"/>
                <w:szCs w:val="21"/>
                <w:highlight w:val="none"/>
              </w:rPr>
            </w:pPr>
            <w:r>
              <w:rPr>
                <w:rFonts w:hint="eastAsia" w:hAnsi="宋体"/>
                <w:szCs w:val="21"/>
                <w:highlight w:val="none"/>
              </w:rPr>
              <w:t>环境因素识别和控制；</w:t>
            </w:r>
          </w:p>
          <w:p>
            <w:pPr>
              <w:spacing w:line="360" w:lineRule="auto"/>
              <w:ind w:firstLine="420" w:firstLineChars="200"/>
              <w:rPr>
                <w:rFonts w:hint="eastAsia" w:hAnsi="宋体"/>
                <w:szCs w:val="21"/>
                <w:highlight w:val="none"/>
              </w:rPr>
            </w:pPr>
            <w:r>
              <w:rPr>
                <w:rFonts w:hint="eastAsia" w:hAnsi="宋体"/>
                <w:szCs w:val="21"/>
                <w:highlight w:val="none"/>
              </w:rPr>
              <w:t>体系运行检查、内审；</w:t>
            </w:r>
          </w:p>
          <w:p>
            <w:pPr>
              <w:spacing w:line="360" w:lineRule="auto"/>
              <w:ind w:firstLine="420" w:firstLineChars="200"/>
              <w:rPr>
                <w:rFonts w:hint="eastAsia" w:ascii="Times New Roman" w:hAnsi="Times New Roman" w:eastAsia="宋体" w:cs="Times New Roman"/>
                <w:szCs w:val="22"/>
                <w:highlight w:val="none"/>
                <w:lang w:val="zh-CN"/>
              </w:rPr>
            </w:pPr>
            <w:r>
              <w:rPr>
                <w:rFonts w:hint="eastAsia" w:hAnsi="宋体"/>
                <w:szCs w:val="21"/>
                <w:highlight w:val="none"/>
              </w:rPr>
              <w:t>法律法规收集及合规性评价；应急准备和相应控制，不符合纠正与预防，事故事件调查处理等。</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60" w:type="dxa"/>
            <w:vAlign w:val="center"/>
          </w:tcPr>
          <w:p>
            <w:pPr>
              <w:spacing w:line="360" w:lineRule="auto"/>
              <w:jc w:val="center"/>
              <w:rPr>
                <w:rFonts w:ascii="Times New Roman" w:hAnsi="Times New Roman" w:eastAsia="宋体" w:cs="Times New Roman"/>
                <w:kern w:val="2"/>
                <w:sz w:val="21"/>
                <w:szCs w:val="21"/>
                <w:lang w:val="en-US" w:eastAsia="zh-CN" w:bidi="ar-SA"/>
              </w:rPr>
            </w:pPr>
            <w:r>
              <w:rPr>
                <w:rFonts w:hAnsi="宋体"/>
                <w:szCs w:val="21"/>
              </w:rPr>
              <w:t>目标和方案</w:t>
            </w:r>
          </w:p>
        </w:tc>
        <w:tc>
          <w:tcPr>
            <w:tcW w:w="1155" w:type="dxa"/>
            <w:vAlign w:val="center"/>
          </w:tcPr>
          <w:p>
            <w:pPr>
              <w:spacing w:line="360" w:lineRule="auto"/>
              <w:jc w:val="center"/>
              <w:rPr>
                <w:rFonts w:ascii="Times New Roman" w:hAnsi="Times New Roman" w:eastAsia="宋体" w:cs="Times New Roman"/>
                <w:kern w:val="2"/>
                <w:sz w:val="21"/>
                <w:szCs w:val="21"/>
                <w:lang w:val="en-US" w:eastAsia="zh-CN" w:bidi="ar-SA"/>
              </w:rPr>
            </w:pPr>
            <w:r>
              <w:rPr>
                <w:szCs w:val="21"/>
              </w:rPr>
              <w:t>QE 6.2</w:t>
            </w:r>
          </w:p>
        </w:tc>
        <w:tc>
          <w:tcPr>
            <w:tcW w:w="9809" w:type="dxa"/>
          </w:tcPr>
          <w:p>
            <w:pPr>
              <w:pStyle w:val="4"/>
              <w:ind w:firstLine="420" w:firstLineChars="200"/>
              <w:rPr>
                <w:rFonts w:hint="default"/>
                <w:highlight w:val="none"/>
                <w:lang w:val="en-US" w:eastAsia="zh-CN"/>
              </w:rPr>
            </w:pPr>
            <w:r>
              <w:rPr>
                <w:rFonts w:hint="eastAsia"/>
                <w:highlight w:val="none"/>
                <w:lang w:val="en-US" w:eastAsia="zh-CN"/>
              </w:rPr>
              <w:t>通过“</w:t>
            </w:r>
            <w:r>
              <w:rPr>
                <w:rFonts w:hint="default"/>
                <w:highlight w:val="none"/>
                <w:lang w:val="en-US" w:eastAsia="zh-CN"/>
              </w:rPr>
              <w:t>目标实施措施表</w:t>
            </w:r>
            <w:r>
              <w:rPr>
                <w:rFonts w:hint="eastAsia"/>
                <w:highlight w:val="none"/>
                <w:lang w:val="en-US" w:eastAsia="zh-CN"/>
              </w:rPr>
              <w:t>”，对目标进行分解到各部门，查见行政部目标：</w:t>
            </w:r>
          </w:p>
          <w:p>
            <w:pPr>
              <w:pStyle w:val="4"/>
              <w:ind w:firstLine="420" w:firstLineChars="200"/>
              <w:rPr>
                <w:rFonts w:hint="eastAsia"/>
                <w:highlight w:val="none"/>
              </w:rPr>
            </w:pPr>
            <w:r>
              <w:rPr>
                <w:rFonts w:hint="eastAsia"/>
                <w:highlight w:val="none"/>
              </w:rPr>
              <w:t>培训计划完成率</w:t>
            </w:r>
            <w:r>
              <w:rPr>
                <w:rFonts w:hint="eastAsia"/>
                <w:highlight w:val="none"/>
              </w:rPr>
              <w:tab/>
            </w:r>
            <w:r>
              <w:rPr>
                <w:rFonts w:hint="eastAsia"/>
                <w:highlight w:val="none"/>
              </w:rPr>
              <w:t>100%</w:t>
            </w:r>
          </w:p>
          <w:p>
            <w:pPr>
              <w:pStyle w:val="4"/>
              <w:ind w:firstLine="420" w:firstLineChars="200"/>
              <w:rPr>
                <w:rFonts w:hint="eastAsia"/>
                <w:highlight w:val="none"/>
              </w:rPr>
            </w:pPr>
            <w:r>
              <w:rPr>
                <w:rFonts w:hint="eastAsia"/>
                <w:highlight w:val="none"/>
              </w:rPr>
              <w:t>岗位任职合格率</w:t>
            </w:r>
            <w:r>
              <w:rPr>
                <w:rFonts w:hint="eastAsia"/>
                <w:highlight w:val="none"/>
              </w:rPr>
              <w:tab/>
            </w:r>
            <w:r>
              <w:rPr>
                <w:rFonts w:hint="eastAsia"/>
                <w:highlight w:val="none"/>
              </w:rPr>
              <w:t>≥95%</w:t>
            </w:r>
          </w:p>
          <w:p>
            <w:pPr>
              <w:pStyle w:val="4"/>
              <w:ind w:firstLine="420" w:firstLineChars="200"/>
              <w:rPr>
                <w:rFonts w:hint="eastAsia"/>
                <w:highlight w:val="none"/>
              </w:rPr>
            </w:pPr>
            <w:r>
              <w:rPr>
                <w:rFonts w:hint="eastAsia"/>
                <w:highlight w:val="none"/>
              </w:rPr>
              <w:t>固体废弃物分类处置率</w:t>
            </w:r>
            <w:r>
              <w:rPr>
                <w:rFonts w:hint="eastAsia"/>
                <w:highlight w:val="none"/>
              </w:rPr>
              <w:tab/>
            </w:r>
            <w:r>
              <w:rPr>
                <w:rFonts w:hint="eastAsia"/>
                <w:highlight w:val="none"/>
              </w:rPr>
              <w:t>100%</w:t>
            </w:r>
          </w:p>
          <w:p>
            <w:pPr>
              <w:pStyle w:val="4"/>
              <w:ind w:firstLine="420" w:firstLineChars="200"/>
              <w:rPr>
                <w:rFonts w:hint="eastAsia"/>
                <w:highlight w:val="none"/>
              </w:rPr>
            </w:pPr>
            <w:r>
              <w:rPr>
                <w:rFonts w:hint="eastAsia"/>
                <w:highlight w:val="none"/>
              </w:rPr>
              <w:t>火灾、触电事故</w:t>
            </w:r>
            <w:r>
              <w:rPr>
                <w:rFonts w:hint="eastAsia"/>
                <w:highlight w:val="none"/>
              </w:rPr>
              <w:tab/>
            </w:r>
            <w:r>
              <w:rPr>
                <w:rFonts w:hint="eastAsia"/>
                <w:highlight w:val="none"/>
              </w:rPr>
              <w:t>0</w:t>
            </w:r>
          </w:p>
          <w:p>
            <w:pPr>
              <w:pStyle w:val="4"/>
              <w:ind w:firstLine="420" w:firstLineChars="200"/>
              <w:rPr>
                <w:rFonts w:hint="eastAsia"/>
                <w:highlight w:val="none"/>
                <w:lang w:val="en-US" w:eastAsia="zh-CN"/>
              </w:rPr>
            </w:pPr>
            <w:r>
              <w:rPr>
                <w:rFonts w:hint="eastAsia"/>
                <w:highlight w:val="none"/>
                <w:lang w:val="en-US" w:eastAsia="zh-CN"/>
              </w:rPr>
              <w:t>制定“</w:t>
            </w:r>
            <w:r>
              <w:rPr>
                <w:rFonts w:hint="eastAsia" w:ascii="Times New Roman" w:hAnsi="Times New Roman" w:eastAsia="宋体" w:cs="Times New Roman"/>
                <w:szCs w:val="22"/>
                <w:highlight w:val="none"/>
                <w:lang w:val="en-US" w:eastAsia="zh-CN"/>
              </w:rPr>
              <w:t>管理方案和控制措施</w:t>
            </w:r>
            <w:r>
              <w:rPr>
                <w:rFonts w:hint="eastAsia"/>
                <w:highlight w:val="none"/>
                <w:lang w:val="en-US" w:eastAsia="zh-CN"/>
              </w:rPr>
              <w:t>”，对目标实现进行了策划；</w:t>
            </w:r>
          </w:p>
          <w:p>
            <w:pPr>
              <w:spacing w:line="360" w:lineRule="auto"/>
              <w:ind w:firstLine="420" w:firstLineChars="200"/>
              <w:rPr>
                <w:rFonts w:hint="default" w:ascii="Times New Roman" w:hAnsi="Times New Roman" w:eastAsia="宋体" w:cs="Times New Roman"/>
                <w:szCs w:val="22"/>
                <w:highlight w:val="none"/>
                <w:lang w:val="en-US"/>
              </w:rPr>
            </w:pPr>
            <w:r>
              <w:rPr>
                <w:rFonts w:hint="eastAsia"/>
                <w:highlight w:val="none"/>
                <w:lang w:val="en-US" w:eastAsia="zh-CN"/>
              </w:rPr>
              <w:t>“目标考核记录表”显示对目标完成情况进行了季度考核，均完成.</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60" w:type="dxa"/>
            <w:vAlign w:val="center"/>
          </w:tcPr>
          <w:p>
            <w:pPr>
              <w:spacing w:line="360" w:lineRule="auto"/>
              <w:jc w:val="center"/>
              <w:rPr>
                <w:rFonts w:hAnsi="宋体"/>
                <w:szCs w:val="21"/>
              </w:rPr>
            </w:pPr>
            <w:r>
              <w:rPr>
                <w:rFonts w:hint="eastAsia" w:hAnsi="宋体"/>
                <w:szCs w:val="21"/>
              </w:rPr>
              <w:t>环境因素的辨识与风险和机遇评价、措施的策划</w:t>
            </w:r>
          </w:p>
        </w:tc>
        <w:tc>
          <w:tcPr>
            <w:tcW w:w="1155" w:type="dxa"/>
            <w:vAlign w:val="center"/>
          </w:tcPr>
          <w:p>
            <w:pPr>
              <w:spacing w:line="360" w:lineRule="auto"/>
              <w:jc w:val="center"/>
              <w:rPr>
                <w:rFonts w:hint="eastAsia" w:hAnsi="宋体"/>
                <w:szCs w:val="21"/>
              </w:rPr>
            </w:pPr>
            <w:r>
              <w:rPr>
                <w:rFonts w:hint="eastAsia" w:hAnsi="宋体"/>
                <w:szCs w:val="21"/>
              </w:rPr>
              <w:t>QE:6.1.2</w:t>
            </w:r>
          </w:p>
          <w:p>
            <w:pPr>
              <w:spacing w:line="360" w:lineRule="auto"/>
              <w:jc w:val="center"/>
              <w:rPr>
                <w:szCs w:val="21"/>
              </w:rPr>
            </w:pPr>
            <w:r>
              <w:rPr>
                <w:rFonts w:hint="eastAsia" w:hAnsi="宋体"/>
                <w:szCs w:val="21"/>
              </w:rPr>
              <w:t>6.1.4</w:t>
            </w:r>
          </w:p>
        </w:tc>
        <w:tc>
          <w:tcPr>
            <w:tcW w:w="9809" w:type="dxa"/>
          </w:tcPr>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查见“环境因素和危险源识别评价与控制程序”，有效文件；</w:t>
            </w:r>
          </w:p>
          <w:p>
            <w:pPr>
              <w:spacing w:line="360" w:lineRule="auto"/>
              <w:ind w:firstLine="420" w:firstLineChars="200"/>
              <w:rPr>
                <w:rFonts w:hint="eastAsia"/>
                <w:highlight w:val="none"/>
                <w:lang w:val="en-US" w:eastAsia="zh-CN"/>
              </w:rPr>
            </w:pPr>
            <w:r>
              <w:rPr>
                <w:rFonts w:hint="eastAsia"/>
                <w:highlight w:val="none"/>
                <w:lang w:val="en-US" w:eastAsia="zh-CN"/>
              </w:rPr>
              <w:t>查见“环境因素辨识和评价表”，对办公区域进行辨识和评价。见有辨识办公活动能源使用、厨房、仓储等33项；考虑了生命周期观点，基本合理。</w:t>
            </w:r>
          </w:p>
          <w:p>
            <w:pPr>
              <w:spacing w:line="360" w:lineRule="auto"/>
              <w:ind w:firstLine="420" w:firstLineChars="200"/>
              <w:rPr>
                <w:rFonts w:hint="eastAsia"/>
                <w:highlight w:val="none"/>
                <w:lang w:val="en-US" w:eastAsia="zh-CN"/>
              </w:rPr>
            </w:pPr>
            <w:r>
              <w:rPr>
                <w:rFonts w:hint="eastAsia"/>
                <w:highlight w:val="none"/>
                <w:lang w:val="en-US" w:eastAsia="zh-CN"/>
              </w:rPr>
              <w:t>打分法评价，查见“重要环境因素清单”，明确了潜在火灾、能源消耗、固废排放、污水排放、油烟排放等环境因素为重要环境因素。</w:t>
            </w:r>
          </w:p>
          <w:p>
            <w:pPr>
              <w:spacing w:line="360" w:lineRule="auto"/>
              <w:ind w:firstLine="420" w:firstLineChars="200"/>
              <w:rPr>
                <w:rFonts w:hint="eastAsia"/>
                <w:highlight w:val="none"/>
                <w:lang w:val="en-US" w:eastAsia="zh-CN"/>
              </w:rPr>
            </w:pPr>
            <w:r>
              <w:rPr>
                <w:rFonts w:hint="eastAsia"/>
                <w:highlight w:val="none"/>
                <w:lang w:val="en-US" w:eastAsia="zh-CN"/>
              </w:rPr>
              <w:t>公司通过制定目标、管理方案、应急预案、日常检查与控制等方法，对环境因素进行控制。针对重要环境因素，制定有“环境管理目标、指标及其管理方案一览表”，明确了指标、方法、措施/技术手段、责任部门、检查部门、日常运行控制部门等.</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60" w:type="dxa"/>
            <w:vAlign w:val="center"/>
          </w:tcPr>
          <w:p>
            <w:pPr>
              <w:spacing w:line="360" w:lineRule="auto"/>
              <w:jc w:val="center"/>
              <w:rPr>
                <w:rFonts w:hint="default"/>
                <w:lang w:val="en-US" w:eastAsia="zh-CN"/>
              </w:rPr>
            </w:pPr>
            <w:r>
              <w:rPr>
                <w:rFonts w:hint="eastAsia"/>
                <w:lang w:val="en-US" w:eastAsia="zh-CN"/>
              </w:rPr>
              <w:t>人员/资源</w:t>
            </w:r>
          </w:p>
          <w:p>
            <w:pPr>
              <w:pStyle w:val="4"/>
              <w:jc w:val="center"/>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能力</w:t>
            </w:r>
          </w:p>
          <w:p>
            <w:pPr>
              <w:pStyle w:val="4"/>
              <w:jc w:val="center"/>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意识</w:t>
            </w:r>
          </w:p>
        </w:tc>
        <w:tc>
          <w:tcPr>
            <w:tcW w:w="1155" w:type="dxa"/>
            <w:vAlign w:val="center"/>
          </w:tcPr>
          <w:p>
            <w:pPr>
              <w:spacing w:line="360" w:lineRule="auto"/>
              <w:jc w:val="center"/>
              <w:rPr>
                <w:rFonts w:hint="eastAsia"/>
                <w:lang w:val="en-US" w:eastAsia="zh-CN"/>
              </w:rPr>
            </w:pPr>
            <w:r>
              <w:rPr>
                <w:rFonts w:hint="eastAsia"/>
                <w:lang w:val="en-US" w:eastAsia="zh-CN"/>
              </w:rPr>
              <w:t>Q:7.1.2</w:t>
            </w:r>
          </w:p>
          <w:p>
            <w:pPr>
              <w:pStyle w:val="4"/>
              <w:jc w:val="center"/>
              <w:rPr>
                <w:rFonts w:hint="eastAsia"/>
                <w:lang w:val="en-US" w:eastAsia="zh-CN"/>
              </w:rPr>
            </w:pPr>
            <w:r>
              <w:rPr>
                <w:rFonts w:hint="eastAsia"/>
                <w:lang w:val="en-US" w:eastAsia="zh-CN"/>
              </w:rPr>
              <w:t>QE:7.1</w:t>
            </w:r>
          </w:p>
          <w:p>
            <w:pPr>
              <w:pStyle w:val="4"/>
              <w:jc w:val="center"/>
              <w:rPr>
                <w:rFonts w:hint="eastAsia"/>
                <w:lang w:val="en-US" w:eastAsia="zh-CN"/>
              </w:rPr>
            </w:pPr>
            <w:r>
              <w:rPr>
                <w:rFonts w:hint="eastAsia"/>
                <w:lang w:val="en-US" w:eastAsia="zh-CN"/>
              </w:rPr>
              <w:t>7.2</w:t>
            </w:r>
          </w:p>
          <w:p>
            <w:pPr>
              <w:pStyle w:val="4"/>
              <w:jc w:val="center"/>
              <w:rPr>
                <w:rFonts w:hint="default"/>
                <w:lang w:val="en-US" w:eastAsia="zh-CN"/>
              </w:rPr>
            </w:pPr>
            <w:r>
              <w:rPr>
                <w:rFonts w:hint="eastAsia"/>
                <w:lang w:val="en-US" w:eastAsia="zh-CN"/>
              </w:rPr>
              <w:t>7.3</w:t>
            </w:r>
          </w:p>
        </w:tc>
        <w:tc>
          <w:tcPr>
            <w:tcW w:w="9809" w:type="dxa"/>
          </w:tcPr>
          <w:p>
            <w:pPr>
              <w:spacing w:line="360" w:lineRule="auto"/>
              <w:ind w:firstLine="420" w:firstLineChars="200"/>
              <w:rPr>
                <w:rFonts w:hint="default"/>
                <w:highlight w:val="none"/>
                <w:lang w:val="en-US" w:eastAsia="zh-CN"/>
              </w:rPr>
            </w:pPr>
            <w:r>
              <w:rPr>
                <w:rFonts w:hint="eastAsia"/>
                <w:highlight w:val="none"/>
                <w:lang w:val="en-US" w:eastAsia="zh-CN"/>
              </w:rPr>
              <w:t>编制执行《人力资源控制程序》，有效文件；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2"/>
                <w:highlight w:val="none"/>
                <w:lang w:val="zh-CN"/>
              </w:rPr>
            </w:pPr>
            <w:r>
              <w:rPr>
                <w:rFonts w:hint="eastAsia" w:ascii="Times New Roman" w:hAnsi="Times New Roman" w:eastAsia="宋体" w:cs="Times New Roman"/>
                <w:szCs w:val="22"/>
                <w:highlight w:val="none"/>
                <w:lang w:val="zh-CN"/>
              </w:rPr>
              <w:t>公司现有员工</w:t>
            </w:r>
            <w:r>
              <w:rPr>
                <w:rFonts w:hint="eastAsia" w:ascii="Times New Roman" w:hAnsi="Times New Roman" w:eastAsia="宋体" w:cs="Times New Roman"/>
                <w:szCs w:val="22"/>
                <w:highlight w:val="none"/>
                <w:lang w:val="en-US" w:eastAsia="zh-CN"/>
              </w:rPr>
              <w:t>30</w:t>
            </w:r>
            <w:r>
              <w:rPr>
                <w:rFonts w:hint="eastAsia" w:ascii="Times New Roman" w:hAnsi="Times New Roman" w:eastAsia="宋体" w:cs="Times New Roman"/>
                <w:szCs w:val="22"/>
                <w:highlight w:val="none"/>
                <w:lang w:val="zh-CN"/>
              </w:rPr>
              <w:t>人，</w:t>
            </w:r>
            <w:r>
              <w:rPr>
                <w:rFonts w:hint="eastAsia" w:ascii="Times New Roman" w:hAnsi="Times New Roman" w:eastAsia="宋体" w:cs="Times New Roman"/>
                <w:szCs w:val="22"/>
                <w:highlight w:val="none"/>
                <w:lang w:val="en-US" w:eastAsia="zh-CN"/>
              </w:rPr>
              <w:t>厨务人员持证上岗</w:t>
            </w:r>
            <w:r>
              <w:rPr>
                <w:rFonts w:hint="eastAsia" w:ascii="Times New Roman" w:hAnsi="Times New Roman" w:eastAsia="宋体" w:cs="Times New Roman"/>
                <w:szCs w:val="22"/>
                <w:highlight w:val="none"/>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eastAsia"/>
                <w:highlight w:val="none"/>
                <w:lang w:val="en-US" w:eastAsia="zh-CN"/>
              </w:rPr>
              <w:t>查见“2021年度培训计划”，</w:t>
            </w:r>
            <w:r>
              <w:rPr>
                <w:rFonts w:hint="default" w:ascii="Times New Roman" w:hAnsi="Times New Roman" w:cs="Times New Roman" w:eastAsiaTheme="minorEastAsia"/>
                <w:sz w:val="21"/>
                <w:szCs w:val="21"/>
                <w:highlight w:val="none"/>
                <w:lang w:val="en-US" w:eastAsia="zh-CN"/>
              </w:rPr>
              <w:t>计划开展管理手册、程序文件、目标及方案、岗位技能培训等1</w:t>
            </w:r>
            <w:r>
              <w:rPr>
                <w:rFonts w:hint="eastAsia" w:cs="Times New Roman" w:eastAsiaTheme="minorEastAsia"/>
                <w:sz w:val="21"/>
                <w:szCs w:val="21"/>
                <w:highlight w:val="none"/>
                <w:lang w:val="en-US" w:eastAsia="zh-CN"/>
              </w:rPr>
              <w:t>3</w:t>
            </w:r>
            <w:r>
              <w:rPr>
                <w:rFonts w:hint="default" w:ascii="Times New Roman" w:hAnsi="Times New Roman" w:cs="Times New Roman" w:eastAsiaTheme="minorEastAsia"/>
                <w:sz w:val="21"/>
                <w:szCs w:val="21"/>
                <w:highlight w:val="none"/>
                <w:lang w:val="en-US" w:eastAsia="zh-CN"/>
              </w:rPr>
              <w:t>项次；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查</w:t>
            </w:r>
            <w:r>
              <w:rPr>
                <w:rFonts w:hint="eastAsia" w:cs="Times New Roman" w:eastAsiaTheme="minorEastAsia"/>
                <w:color w:val="auto"/>
                <w:sz w:val="21"/>
                <w:szCs w:val="21"/>
                <w:highlight w:val="none"/>
                <w:lang w:val="en-US" w:eastAsia="zh-CN"/>
              </w:rPr>
              <w:t>“</w:t>
            </w:r>
            <w:r>
              <w:rPr>
                <w:rFonts w:hint="default" w:ascii="Times New Roman" w:hAnsi="Times New Roman" w:cs="Times New Roman" w:eastAsiaTheme="minorEastAsia"/>
                <w:color w:val="auto"/>
                <w:sz w:val="21"/>
                <w:szCs w:val="21"/>
                <w:highlight w:val="none"/>
                <w:lang w:val="en-US" w:eastAsia="zh-CN"/>
              </w:rPr>
              <w:t>培训记录及培训效果评价表</w:t>
            </w:r>
            <w:r>
              <w:rPr>
                <w:rFonts w:hint="eastAsia" w:cs="Times New Roman" w:eastAsiaTheme="minorEastAsia"/>
                <w:color w:val="auto"/>
                <w:sz w:val="21"/>
                <w:szCs w:val="21"/>
                <w:highlight w:val="none"/>
                <w:lang w:val="en-US" w:eastAsia="zh-CN"/>
              </w:rPr>
              <w:t>”</w:t>
            </w:r>
            <w:r>
              <w:rPr>
                <w:rFonts w:hint="default" w:ascii="Times New Roman" w:hAnsi="Times New Roman" w:cs="Times New Roman" w:eastAsiaTheme="minorEastAsia"/>
                <w:color w:val="auto"/>
                <w:sz w:val="21"/>
                <w:szCs w:val="21"/>
                <w:highlight w:val="none"/>
                <w:lang w:val="en-US" w:eastAsia="zh-CN"/>
              </w:rPr>
              <w:t>，抽见：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2021.1.29——</w:t>
            </w:r>
            <w:r>
              <w:rPr>
                <w:rFonts w:hint="eastAsia" w:ascii="宋体" w:hAnsi="宋体"/>
                <w:color w:val="auto"/>
                <w:szCs w:val="21"/>
                <w:highlight w:val="none"/>
              </w:rPr>
              <w:t>管理手册、程序文件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2021.</w:t>
            </w:r>
            <w:r>
              <w:rPr>
                <w:rFonts w:hint="eastAsia" w:cs="Times New Roman" w:eastAsiaTheme="minorEastAsia"/>
                <w:color w:val="auto"/>
                <w:sz w:val="21"/>
                <w:szCs w:val="21"/>
                <w:highlight w:val="none"/>
                <w:lang w:val="en-US" w:eastAsia="zh-CN"/>
              </w:rPr>
              <w:t>3.17</w:t>
            </w:r>
            <w:r>
              <w:rPr>
                <w:rFonts w:hint="default" w:ascii="Times New Roman" w:hAnsi="Times New Roman" w:cs="Times New Roman" w:eastAsiaTheme="minorEastAsia"/>
                <w:color w:val="auto"/>
                <w:sz w:val="21"/>
                <w:szCs w:val="21"/>
                <w:highlight w:val="none"/>
                <w:lang w:val="en-US" w:eastAsia="zh-CN"/>
              </w:rPr>
              <w:t>——地方法律法规的培训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2021.5.6</w:t>
            </w:r>
            <w:r>
              <w:rPr>
                <w:rFonts w:hint="eastAsia" w:cs="Times New Roman" w:eastAsiaTheme="minorEastAsia"/>
                <w:color w:val="auto"/>
                <w:sz w:val="21"/>
                <w:szCs w:val="21"/>
                <w:highlight w:val="none"/>
                <w:lang w:val="en-US" w:eastAsia="zh-CN"/>
              </w:rPr>
              <w:t>——</w:t>
            </w:r>
            <w:r>
              <w:rPr>
                <w:rFonts w:hint="default" w:ascii="Times New Roman" w:hAnsi="Times New Roman" w:cs="Times New Roman" w:eastAsiaTheme="minorEastAsia"/>
                <w:color w:val="auto"/>
                <w:sz w:val="21"/>
                <w:szCs w:val="21"/>
                <w:highlight w:val="none"/>
                <w:lang w:val="en-US" w:eastAsia="zh-CN"/>
              </w:rPr>
              <w:t>环境目标及方案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考核及评价记录显示以口头问答的方式对培训效果进行了评价，培训达到预期的目的。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查见人员证书：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eastAsia" w:cs="Times New Roman" w:eastAsiaTheme="minorEastAsia"/>
                <w:color w:val="auto"/>
                <w:sz w:val="21"/>
                <w:szCs w:val="21"/>
                <w:highlight w:val="none"/>
                <w:lang w:val="en-US" w:eastAsia="zh-CN"/>
              </w:rPr>
              <w:t>钟</w:t>
            </w:r>
            <w:r>
              <w:rPr>
                <w:rFonts w:hint="default" w:ascii="Times New Roman" w:hAnsi="Times New Roman" w:cs="Times New Roman" w:eastAsiaTheme="minorEastAsia"/>
                <w:color w:val="auto"/>
                <w:sz w:val="21"/>
                <w:szCs w:val="21"/>
                <w:highlight w:val="none"/>
                <w:lang w:val="en-US" w:eastAsia="zh-CN"/>
              </w:rPr>
              <w:t>XX——</w:t>
            </w:r>
            <w:r>
              <w:rPr>
                <w:rFonts w:hint="eastAsia" w:ascii="Times New Roman" w:hAnsi="Times New Roman" w:cs="Times New Roman" w:eastAsiaTheme="minorEastAsia"/>
                <w:color w:val="auto"/>
                <w:sz w:val="21"/>
                <w:szCs w:val="21"/>
                <w:highlight w:val="none"/>
                <w:lang w:val="en-US" w:eastAsia="zh-CN"/>
              </w:rPr>
              <w:t>食品安全管理师，2017.10.18，中国饭店协会</w:t>
            </w:r>
            <w:r>
              <w:rPr>
                <w:rFonts w:hint="default" w:ascii="Times New Roman" w:hAnsi="Times New Roman" w:cs="Times New Roman" w:eastAsiaTheme="minorEastAsia"/>
                <w:color w:val="auto"/>
                <w:sz w:val="21"/>
                <w:szCs w:val="21"/>
                <w:highlight w:val="none"/>
                <w:lang w:val="en-US" w:eastAsia="zh-CN"/>
              </w:rPr>
              <w:t>，有效；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ascii="Times New Roman" w:hAnsi="Times New Roman" w:cs="Times New Roman" w:eastAsiaTheme="minorEastAsia"/>
                <w:color w:val="auto"/>
                <w:sz w:val="21"/>
                <w:szCs w:val="21"/>
                <w:highlight w:val="none"/>
                <w:lang w:val="en-US" w:eastAsia="zh-CN"/>
              </w:rPr>
              <w:t>李XX——从业人员健康安全体检合格证，2021.5.31，赣州市南康区第一人民医院，有效；</w:t>
            </w:r>
          </w:p>
          <w:p>
            <w:pPr>
              <w:spacing w:line="360" w:lineRule="auto"/>
              <w:ind w:firstLine="420" w:firstLineChars="200"/>
              <w:rPr>
                <w:rFonts w:hint="default"/>
                <w:highlight w:val="none"/>
                <w:lang w:val="en-US" w:eastAsia="zh-CN"/>
              </w:rPr>
            </w:pPr>
            <w:r>
              <w:rPr>
                <w:rFonts w:hint="eastAsia"/>
                <w:color w:val="auto"/>
                <w:highlight w:val="none"/>
                <w:lang w:val="en-US" w:eastAsia="zh-CN"/>
              </w:rPr>
              <w:t>查见“垃圾收费登记”，每月800元；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意识：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经与部门负责人沟通交流，主要通过培训提高岗位作业水平和质量、环保、安全意识，询问部分员工，他们对公司的管理方针、管理目标、对质量环境管理体系有效性的贡献，包括提高效率、技能、改进工艺和恪尽职守带来的无论是产品质量的提高亦或成本降低、节能减排、保护员工健康等的益处，以及因自己岗位职责疏忽带来不符合给公司产品及公司商誉、环境安全承诺带来的后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员工能明确自身职责及岗位要求，自身工作影响，如何提高产品质量、减少环境污染，员工人身安全意识等。</w:t>
            </w:r>
          </w:p>
          <w:p>
            <w:pPr>
              <w:spacing w:line="360" w:lineRule="auto"/>
              <w:ind w:firstLine="420" w:firstLineChars="200"/>
              <w:rPr>
                <w:rFonts w:hint="eastAsia"/>
                <w:highlight w:val="none"/>
                <w:lang w:val="en-US" w:eastAsia="zh-CN"/>
              </w:rPr>
            </w:pPr>
            <w:r>
              <w:rPr>
                <w:rFonts w:hint="default" w:ascii="Times New Roman" w:hAnsi="Times New Roman" w:cs="Times New Roman" w:eastAsiaTheme="minorEastAsia"/>
                <w:sz w:val="21"/>
                <w:szCs w:val="21"/>
                <w:highlight w:val="none"/>
                <w:lang w:val="en-US" w:eastAsia="zh-CN"/>
              </w:rPr>
              <w:t>基本能满足要求。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60" w:type="dxa"/>
            <w:vAlign w:val="center"/>
          </w:tcPr>
          <w:p>
            <w:pPr>
              <w:pStyle w:val="4"/>
              <w:jc w:val="center"/>
              <w:rPr>
                <w:rFonts w:hint="eastAsia" w:ascii="宋体" w:hAnsi="宋体" w:eastAsia="宋体" w:cs="Arial"/>
                <w:spacing w:val="-6"/>
                <w:sz w:val="21"/>
                <w:szCs w:val="21"/>
                <w:lang w:val="en-US" w:eastAsia="zh-CN"/>
              </w:rPr>
            </w:pPr>
            <w:r>
              <w:rPr>
                <w:rFonts w:hint="eastAsia" w:ascii="宋体" w:hAnsi="宋体" w:eastAsia="宋体" w:cs="Arial"/>
                <w:color w:val="auto"/>
                <w:spacing w:val="-6"/>
                <w:sz w:val="21"/>
                <w:szCs w:val="21"/>
                <w:lang w:val="en-US" w:eastAsia="zh-CN"/>
              </w:rPr>
              <w:t>基础设施</w:t>
            </w:r>
          </w:p>
        </w:tc>
        <w:tc>
          <w:tcPr>
            <w:tcW w:w="1155" w:type="dxa"/>
            <w:vAlign w:val="center"/>
          </w:tcPr>
          <w:p>
            <w:pPr>
              <w:pStyle w:val="4"/>
              <w:jc w:val="center"/>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Q:7.1.3</w:t>
            </w:r>
          </w:p>
        </w:tc>
        <w:tc>
          <w:tcPr>
            <w:tcW w:w="9809" w:type="dxa"/>
          </w:tcPr>
          <w:p>
            <w:pPr>
              <w:spacing w:line="360" w:lineRule="auto"/>
              <w:ind w:firstLine="420" w:firstLineChars="200"/>
              <w:rPr>
                <w:rFonts w:hint="eastAsia"/>
                <w:lang w:val="en-US" w:eastAsia="zh-CN"/>
              </w:rPr>
            </w:pPr>
            <w:r>
              <w:rPr>
                <w:rFonts w:hint="eastAsia"/>
                <w:lang w:val="en-US" w:eastAsia="zh-CN"/>
              </w:rPr>
              <w:t>查见设备清单，</w:t>
            </w:r>
            <w:r>
              <w:rPr>
                <w:rFonts w:hint="default"/>
                <w:lang w:val="en-US" w:eastAsia="zh-CN"/>
              </w:rPr>
              <w:t>主要设备：电磁单头大锅炉、厨房油烟净化一体机、切菜机、四门冷柜、消毒柜</w:t>
            </w:r>
            <w:r>
              <w:rPr>
                <w:rFonts w:hint="eastAsia"/>
                <w:lang w:val="en-US" w:eastAsia="zh-CN"/>
              </w:rPr>
              <w:t>；</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主要环保设备包括：</w:t>
            </w:r>
            <w:r>
              <w:rPr>
                <w:rFonts w:hint="eastAsia" w:ascii="Times New Roman" w:hAnsi="Times New Roman" w:eastAsia="宋体" w:cs="Times New Roman"/>
                <w:b w:val="0"/>
                <w:kern w:val="2"/>
                <w:sz w:val="21"/>
                <w:szCs w:val="22"/>
                <w:highlight w:val="none"/>
                <w:lang w:val="zh-CN" w:eastAsia="zh-CN" w:bidi="ar-SA"/>
              </w:rPr>
              <w:t>垃圾桶、灭火器、</w:t>
            </w:r>
            <w:r>
              <w:rPr>
                <w:rFonts w:hint="eastAsia"/>
                <w:color w:val="auto"/>
                <w:szCs w:val="22"/>
                <w:highlight w:val="none"/>
                <w:lang w:val="zh-CN"/>
              </w:rPr>
              <w:t>厨房油烟净化一体机</w:t>
            </w:r>
            <w:r>
              <w:rPr>
                <w:rFonts w:hint="eastAsia"/>
                <w:color w:val="auto"/>
                <w:highlight w:val="none"/>
                <w:lang w:val="en-US" w:eastAsia="zh-CN"/>
              </w:rPr>
              <w:t>等；</w:t>
            </w:r>
          </w:p>
          <w:p>
            <w:pPr>
              <w:spacing w:line="360" w:lineRule="auto"/>
              <w:ind w:firstLine="420" w:firstLineChars="200"/>
              <w:rPr>
                <w:rFonts w:hint="eastAsia"/>
                <w:szCs w:val="22"/>
                <w:lang w:val="en-US" w:eastAsia="zh-CN"/>
              </w:rPr>
            </w:pPr>
            <w:r>
              <w:rPr>
                <w:rFonts w:hint="eastAsia"/>
                <w:szCs w:val="22"/>
                <w:lang w:val="en-US" w:eastAsia="zh-CN"/>
              </w:rPr>
              <w:t>查见“设备维护保养记录”，抽见：2021.5.11、5.12、5.16、5.20等；明确了保养内容，记录了保养结果-正常；保养人签字；</w:t>
            </w:r>
          </w:p>
          <w:p>
            <w:pPr>
              <w:spacing w:line="360" w:lineRule="auto"/>
              <w:ind w:firstLine="420" w:firstLineChars="200"/>
              <w:rPr>
                <w:rFonts w:hint="default"/>
                <w:lang w:val="en-US" w:eastAsia="zh-CN"/>
              </w:rPr>
            </w:pPr>
            <w:r>
              <w:rPr>
                <w:rFonts w:hint="eastAsia"/>
                <w:szCs w:val="22"/>
                <w:lang w:val="en-US" w:eastAsia="zh-CN"/>
              </w:rPr>
              <w:t>介绍说，临时维修有内部专门人员进行，未保留记录，交流；</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spacing w:line="360" w:lineRule="auto"/>
              <w:jc w:val="center"/>
              <w:rPr>
                <w:rFonts w:hint="default" w:ascii="Times New Roman" w:hAnsi="Times New Roman" w:eastAsia="宋体" w:cs="Times New Roman"/>
                <w:kern w:val="2"/>
                <w:sz w:val="21"/>
                <w:szCs w:val="21"/>
                <w:lang w:val="en-US" w:eastAsia="zh-CN" w:bidi="ar-SA"/>
              </w:rPr>
            </w:pPr>
            <w:r>
              <w:rPr>
                <w:rFonts w:hAnsi="宋体"/>
                <w:szCs w:val="21"/>
              </w:rPr>
              <w:t>组织知识</w:t>
            </w:r>
          </w:p>
        </w:tc>
        <w:tc>
          <w:tcPr>
            <w:tcW w:w="1155" w:type="dxa"/>
            <w:vAlign w:val="center"/>
          </w:tcPr>
          <w:p>
            <w:pPr>
              <w:spacing w:line="360" w:lineRule="auto"/>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Q</w:t>
            </w:r>
            <w:r>
              <w:rPr>
                <w:rFonts w:hint="eastAsia" w:ascii="宋体" w:hAnsi="宋体" w:cs="Arial"/>
                <w:color w:val="auto"/>
                <w:spacing w:val="-6"/>
                <w:kern w:val="2"/>
                <w:sz w:val="21"/>
                <w:szCs w:val="21"/>
                <w:lang w:val="en-US" w:eastAsia="zh-CN" w:bidi="ar-SA"/>
              </w:rPr>
              <w:t>:</w:t>
            </w:r>
            <w:r>
              <w:rPr>
                <w:rFonts w:hint="eastAsia" w:ascii="宋体" w:hAnsi="宋体" w:eastAsia="宋体" w:cs="Arial"/>
                <w:color w:val="auto"/>
                <w:spacing w:val="-6"/>
                <w:kern w:val="2"/>
                <w:sz w:val="21"/>
                <w:szCs w:val="21"/>
                <w:lang w:val="en-US" w:eastAsia="zh-CN" w:bidi="ar-SA"/>
              </w:rPr>
              <w:t>7.1.6</w:t>
            </w:r>
          </w:p>
        </w:tc>
        <w:tc>
          <w:tcPr>
            <w:tcW w:w="9809"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公司各部门按照职责从内外部各种渠道获得与其职责相关所需的知识，包括操作规程、管理技巧与经验、失败和事故的案例分析、科研成果、商标等；把知识形成各种规章制度用于指导公司的日常工作和管理，包括体系文件、支持性文件、各种记录表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从内部来源获取的有：多年的工作经验、教训、内部的知识产权等；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外部来源获取有：标杆对比、行业会议、客户技术要求、咨询老师传授的体系知识及所实施的内审员的培训；顾客方提供的资料等。</w:t>
            </w:r>
          </w:p>
          <w:p>
            <w:pPr>
              <w:spacing w:line="360" w:lineRule="auto"/>
              <w:ind w:firstLine="420" w:firstLineChars="200"/>
              <w:rPr>
                <w:rFonts w:hint="eastAsia" w:ascii="Times New Roman" w:hAnsi="Times New Roman" w:eastAsia="宋体" w:cs="Times New Roman"/>
                <w:szCs w:val="22"/>
                <w:highlight w:val="none"/>
                <w:lang w:val="zh-CN"/>
              </w:rPr>
            </w:pPr>
            <w:r>
              <w:rPr>
                <w:rFonts w:hint="default" w:ascii="Times New Roman" w:hAnsi="Times New Roman" w:cs="Times New Roman" w:eastAsiaTheme="minorEastAsia"/>
                <w:sz w:val="21"/>
                <w:szCs w:val="21"/>
                <w:highlight w:val="none"/>
                <w:lang w:val="en-US" w:eastAsia="zh-CN"/>
              </w:rPr>
              <w:t>在应对变化的需求和趋势时，相关部门考虑现有的知识，确定如何获取更多的必要的额外知识，并根据变化的情况及时更新。</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spacing w:line="360" w:lineRule="auto"/>
              <w:jc w:val="center"/>
              <w:rPr>
                <w:rFonts w:hint="eastAsia" w:ascii="Times New Roman" w:hAnsi="Times New Roman" w:eastAsia="宋体" w:cs="Times New Roman"/>
                <w:kern w:val="2"/>
                <w:sz w:val="21"/>
                <w:szCs w:val="21"/>
                <w:lang w:val="en-US" w:eastAsia="zh-CN" w:bidi="ar-SA"/>
              </w:rPr>
            </w:pPr>
            <w:r>
              <w:rPr>
                <w:rFonts w:hAnsi="宋体"/>
                <w:szCs w:val="21"/>
              </w:rPr>
              <w:t>形成文件的信息</w:t>
            </w:r>
          </w:p>
        </w:tc>
        <w:tc>
          <w:tcPr>
            <w:tcW w:w="1155" w:type="dxa"/>
            <w:vAlign w:val="center"/>
          </w:tcPr>
          <w:p>
            <w:pPr>
              <w:spacing w:line="360" w:lineRule="auto"/>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QE:7.5</w:t>
            </w:r>
          </w:p>
        </w:tc>
        <w:tc>
          <w:tcPr>
            <w:tcW w:w="9809" w:type="dxa"/>
          </w:tcPr>
          <w:p>
            <w:pPr>
              <w:spacing w:line="360" w:lineRule="auto"/>
              <w:ind w:firstLine="420" w:firstLineChars="200"/>
              <w:rPr>
                <w:rFonts w:hint="eastAsia"/>
                <w:highlight w:val="none"/>
                <w:lang w:val="en-US" w:eastAsia="zh-CN"/>
              </w:rPr>
            </w:pPr>
            <w:r>
              <w:rPr>
                <w:rFonts w:hint="eastAsia"/>
                <w:highlight w:val="none"/>
                <w:lang w:val="en-US" w:eastAsia="zh-CN"/>
              </w:rPr>
              <w:t>体系文件包括：</w:t>
            </w:r>
          </w:p>
          <w:p>
            <w:pPr>
              <w:spacing w:line="360" w:lineRule="auto"/>
              <w:ind w:firstLine="420" w:firstLineChars="200"/>
              <w:rPr>
                <w:rFonts w:hint="eastAsia"/>
                <w:highlight w:val="none"/>
              </w:rPr>
            </w:pPr>
            <w:r>
              <w:rPr>
                <w:rFonts w:hint="eastAsia"/>
                <w:highlight w:val="none"/>
                <w:lang w:val="en-US" w:eastAsia="zh-CN"/>
              </w:rPr>
              <w:t>管理手册——A/0，</w:t>
            </w:r>
            <w:r>
              <w:rPr>
                <w:rFonts w:hint="eastAsia"/>
                <w:highlight w:val="none"/>
              </w:rPr>
              <w:t>2021年01月05日</w:t>
            </w:r>
          </w:p>
          <w:p>
            <w:pPr>
              <w:spacing w:line="360" w:lineRule="auto"/>
              <w:ind w:firstLine="420" w:firstLineChars="200"/>
              <w:rPr>
                <w:rFonts w:hint="eastAsia"/>
                <w:highlight w:val="none"/>
                <w:lang w:val="en-US" w:eastAsia="zh-CN"/>
              </w:rPr>
            </w:pPr>
            <w:r>
              <w:rPr>
                <w:rFonts w:hint="eastAsia"/>
                <w:highlight w:val="none"/>
                <w:lang w:val="en-US" w:eastAsia="zh-CN"/>
              </w:rPr>
              <w:t>程序文件——A/0，</w:t>
            </w:r>
            <w:r>
              <w:rPr>
                <w:rFonts w:hint="eastAsia"/>
                <w:highlight w:val="none"/>
              </w:rPr>
              <w:t>2021年01月05日</w:t>
            </w:r>
            <w:r>
              <w:rPr>
                <w:rFonts w:hint="eastAsia"/>
                <w:highlight w:val="none"/>
                <w:lang w:eastAsia="zh-CN"/>
              </w:rPr>
              <w:t>，</w:t>
            </w:r>
            <w:r>
              <w:rPr>
                <w:rFonts w:hint="eastAsia"/>
                <w:highlight w:val="none"/>
                <w:lang w:val="en-US" w:eastAsia="zh-CN"/>
              </w:rPr>
              <w:t>包括：风险和机遇的应对控制程序、顾客满意度控制程序、采购控制程序、生产和服务管理控制程序、环境因素识别评价与控制程序、环境法律法规控制程序、应急准备和响应控制程序、监视和测量控制程序、不符合/纠正和预防措施控制程序等26个；</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管理文件——编制有操作性提前方案、HACCP计划书、前提方案；</w:t>
            </w:r>
          </w:p>
          <w:p>
            <w:pPr>
              <w:spacing w:line="360" w:lineRule="auto"/>
              <w:ind w:firstLine="420" w:firstLineChars="200"/>
              <w:rPr>
                <w:rFonts w:hint="default"/>
                <w:highlight w:val="none"/>
                <w:lang w:val="en-US" w:eastAsia="zh-CN"/>
              </w:rPr>
            </w:pPr>
            <w:r>
              <w:rPr>
                <w:rFonts w:hint="eastAsia"/>
                <w:highlight w:val="none"/>
                <w:lang w:val="en-US" w:eastAsia="zh-CN"/>
              </w:rPr>
              <w:t>建立有外来文件清单，收集相关标准和法律等7个；</w:t>
            </w:r>
          </w:p>
          <w:p>
            <w:pPr>
              <w:spacing w:line="360" w:lineRule="auto"/>
              <w:ind w:firstLine="420" w:firstLineChars="200"/>
              <w:rPr>
                <w:rFonts w:hint="eastAsia"/>
                <w:highlight w:val="none"/>
                <w:lang w:val="en-US" w:eastAsia="zh-CN"/>
              </w:rPr>
            </w:pPr>
            <w:r>
              <w:rPr>
                <w:rFonts w:hint="eastAsia"/>
                <w:highlight w:val="none"/>
                <w:lang w:val="en-US" w:eastAsia="zh-CN"/>
              </w:rPr>
              <w:t>建立环境法律法规和其他要求清单，共48个。</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Times New Roman" w:hAnsi="Times New Roman" w:cs="Times New Roman" w:eastAsiaTheme="minorEastAsia"/>
                <w:sz w:val="21"/>
                <w:szCs w:val="21"/>
                <w:highlight w:val="none"/>
                <w:lang w:val="en-US" w:eastAsia="zh-CN"/>
              </w:rPr>
            </w:pPr>
            <w:r>
              <w:rPr>
                <w:rFonts w:hint="eastAsia" w:ascii="宋体" w:hAnsi="宋体" w:cs="Arial"/>
                <w:color w:val="auto"/>
                <w:spacing w:val="-6"/>
                <w:sz w:val="21"/>
                <w:szCs w:val="21"/>
                <w:highlight w:val="none"/>
                <w:lang w:val="en-US" w:eastAsia="zh-CN"/>
              </w:rPr>
              <w:t>文件化管理体系目前基本满足要求。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——在编制体系文件时，对文件进行标识，主要有文件名称/编制部门/批准日期/文件编号等，经查管理手册/程序文件基本符合标准要求。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管理体系文件经过总经理审批实施发布，经评审，目前文件和目录均适用。符合要求。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——编制《文件控制程序》，内容符合基本标准要求。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抽查：受控文件清单、管理评审计划、培训计划、环境因素因素评价记录表、职业健康安全危险源识别与评价表等，其成文信息标识清晰，填写基本齐全、清晰，成文信息在文件柜中分类编目保存，成文信息的贮存和保护符合要求，检索方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成文信息由各部门负责保存，以便查阅。</w:t>
            </w:r>
          </w:p>
          <w:p>
            <w:pPr>
              <w:pStyle w:val="4"/>
              <w:spacing w:line="360" w:lineRule="auto"/>
              <w:ind w:firstLine="420" w:firstLineChars="200"/>
            </w:pPr>
            <w:r>
              <w:rPr>
                <w:rFonts w:hint="default" w:ascii="Times New Roman" w:hAnsi="Times New Roman" w:cs="Times New Roman" w:eastAsiaTheme="minorEastAsia"/>
                <w:sz w:val="21"/>
                <w:szCs w:val="21"/>
                <w:highlight w:val="none"/>
                <w:lang w:val="en-US" w:eastAsia="zh-CN"/>
              </w:rPr>
              <w:t>经查，基本符合标准要求。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160" w:type="dxa"/>
            <w:vAlign w:val="center"/>
          </w:tcPr>
          <w:p>
            <w:pPr>
              <w:spacing w:line="360" w:lineRule="auto"/>
              <w:jc w:val="left"/>
              <w:rPr>
                <w:rFonts w:hint="eastAsia" w:ascii="Times New Roman" w:hAnsi="Times New Roman" w:eastAsia="宋体" w:cs="Times New Roman"/>
                <w:kern w:val="2"/>
                <w:sz w:val="21"/>
                <w:szCs w:val="21"/>
                <w:highlight w:val="yellow"/>
                <w:lang w:val="en-US" w:eastAsia="zh-CN" w:bidi="ar-SA"/>
              </w:rPr>
            </w:pPr>
            <w:r>
              <w:rPr>
                <w:rFonts w:hAnsi="宋体"/>
                <w:spacing w:val="-6"/>
                <w:szCs w:val="21"/>
                <w:highlight w:val="none"/>
              </w:rPr>
              <w:t>监视、测量、分析和评价</w:t>
            </w:r>
          </w:p>
        </w:tc>
        <w:tc>
          <w:tcPr>
            <w:tcW w:w="1155" w:type="dxa"/>
            <w:vAlign w:val="center"/>
          </w:tcPr>
          <w:p>
            <w:pPr>
              <w:spacing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QE:9.1.1</w:t>
            </w:r>
          </w:p>
          <w:p>
            <w:pPr>
              <w:spacing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Q:9.1.3</w:t>
            </w:r>
          </w:p>
        </w:tc>
        <w:tc>
          <w:tcPr>
            <w:tcW w:w="9809" w:type="dxa"/>
          </w:tcPr>
          <w:p>
            <w:pPr>
              <w:spacing w:line="360" w:lineRule="auto"/>
              <w:ind w:firstLine="420" w:firstLineChars="200"/>
              <w:rPr>
                <w:rFonts w:hint="default"/>
                <w:lang w:val="en-US" w:eastAsia="zh-CN"/>
              </w:rPr>
            </w:pPr>
            <w:r>
              <w:rPr>
                <w:rFonts w:hint="eastAsia"/>
                <w:lang w:val="en-US" w:eastAsia="zh-CN"/>
              </w:rPr>
              <w:t>公司在管理手册中明确了监视测量的要求，</w:t>
            </w:r>
            <w:r>
              <w:rPr>
                <w:rFonts w:hint="default"/>
                <w:lang w:val="en-US" w:eastAsia="zh-CN"/>
              </w:rPr>
              <w:t>制定了《顾客满意度测量控制程序》、《管理评审控制程序》和《内部审核控制程序》等程序。</w:t>
            </w:r>
          </w:p>
          <w:p>
            <w:pPr>
              <w:spacing w:line="360" w:lineRule="auto"/>
              <w:ind w:firstLine="420" w:firstLineChars="200"/>
              <w:rPr>
                <w:rFonts w:hint="eastAsia"/>
                <w:lang w:val="en-US" w:eastAsia="zh-CN"/>
              </w:rPr>
            </w:pPr>
            <w:r>
              <w:rPr>
                <w:rFonts w:hint="eastAsia"/>
                <w:lang w:val="en-US" w:eastAsia="zh-CN"/>
              </w:rPr>
              <w:t>行政部保留“目标考核表”，对各部门完成目标情况进行监测；</w:t>
            </w:r>
          </w:p>
          <w:p>
            <w:pPr>
              <w:pStyle w:val="4"/>
              <w:spacing w:line="360" w:lineRule="auto"/>
              <w:ind w:firstLine="420" w:firstLineChars="200"/>
              <w:rPr>
                <w:rFonts w:hint="eastAsia"/>
                <w:highlight w:val="none"/>
                <w:lang w:val="en-US" w:eastAsia="zh-CN"/>
              </w:rPr>
            </w:pPr>
            <w:r>
              <w:rPr>
                <w:rFonts w:hint="eastAsia"/>
                <w:highlight w:val="none"/>
                <w:lang w:val="en-US" w:eastAsia="zh-CN"/>
              </w:rPr>
              <w:t>查见“环境安全运行检查记录”，每月一次，抽见2021年2-6月，对固废集中收集、安全用电、消防安全、持证上岗等情况进行检查，均正常。</w:t>
            </w:r>
          </w:p>
          <w:p>
            <w:pPr>
              <w:pStyle w:val="4"/>
              <w:spacing w:line="360" w:lineRule="auto"/>
              <w:ind w:firstLine="420" w:firstLineChars="200"/>
              <w:rPr>
                <w:rFonts w:hint="eastAsia"/>
                <w:highlight w:val="none"/>
                <w:lang w:val="en-US" w:eastAsia="zh-CN"/>
              </w:rPr>
            </w:pPr>
            <w:r>
              <w:rPr>
                <w:rFonts w:hint="eastAsia"/>
                <w:highlight w:val="none"/>
                <w:lang w:val="en-US" w:eastAsia="zh-CN"/>
              </w:rPr>
              <w:t>提供“油烟监测报告”，2021.1.19，南昌市环量环境监测服务有限公司出具；检测结果油烟浓度小于标准值；</w:t>
            </w:r>
          </w:p>
          <w:p>
            <w:pPr>
              <w:pStyle w:val="4"/>
              <w:spacing w:line="360" w:lineRule="auto"/>
              <w:ind w:firstLine="420" w:firstLineChars="200"/>
              <w:rPr>
                <w:rFonts w:hint="default"/>
                <w:highlight w:val="none"/>
                <w:lang w:val="en-US" w:eastAsia="zh-CN"/>
              </w:rPr>
            </w:pPr>
            <w:r>
              <w:rPr>
                <w:rFonts w:hint="eastAsia"/>
                <w:highlight w:val="none"/>
                <w:lang w:val="en-US" w:eastAsia="zh-CN"/>
              </w:rPr>
              <w:t>对目标完成、顾客满意等进行统计分析，保留分析结果。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spacing w:line="360" w:lineRule="auto"/>
              <w:jc w:val="left"/>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合规义务</w:t>
            </w:r>
          </w:p>
          <w:p>
            <w:pPr>
              <w:spacing w:line="360" w:lineRule="auto"/>
              <w:jc w:val="left"/>
              <w:rPr>
                <w:rFonts w:hint="eastAsia" w:hAnsi="宋体"/>
                <w:szCs w:val="21"/>
              </w:rPr>
            </w:pPr>
            <w:r>
              <w:rPr>
                <w:rFonts w:hint="eastAsia" w:ascii="宋体" w:hAnsi="宋体" w:eastAsia="宋体" w:cs="Arial"/>
                <w:spacing w:val="-6"/>
                <w:sz w:val="21"/>
                <w:szCs w:val="21"/>
                <w:lang w:val="en-US" w:eastAsia="zh-CN"/>
              </w:rPr>
              <w:t>合规性评价</w:t>
            </w:r>
          </w:p>
        </w:tc>
        <w:tc>
          <w:tcPr>
            <w:tcW w:w="1155" w:type="dxa"/>
            <w:vAlign w:val="center"/>
          </w:tcPr>
          <w:p>
            <w:pPr>
              <w:spacing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E:6.1.3</w:t>
            </w:r>
          </w:p>
          <w:p>
            <w:pPr>
              <w:spacing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9.1.2</w:t>
            </w:r>
          </w:p>
        </w:tc>
        <w:tc>
          <w:tcPr>
            <w:tcW w:w="9809"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color w:val="auto"/>
                <w:sz w:val="21"/>
                <w:szCs w:val="21"/>
                <w:highlight w:val="none"/>
                <w:lang w:val="zh-CN" w:eastAsia="zh-CN"/>
              </w:rPr>
            </w:pPr>
            <w:r>
              <w:rPr>
                <w:rFonts w:hint="eastAsia" w:ascii="Times New Roman" w:hAnsi="Times New Roman" w:cs="Times New Roman" w:eastAsiaTheme="minorEastAsia"/>
                <w:color w:val="auto"/>
                <w:sz w:val="21"/>
                <w:szCs w:val="21"/>
                <w:highlight w:val="none"/>
                <w:lang w:val="zh-CN" w:eastAsia="zh-CN"/>
              </w:rPr>
              <w:t>查见“环境和职业健康安全法律法规控制程序”，有效文件，无变化；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color w:val="auto"/>
                <w:sz w:val="21"/>
                <w:szCs w:val="21"/>
                <w:highlight w:val="none"/>
                <w:lang w:val="zh-CN" w:eastAsia="zh-CN"/>
              </w:rPr>
            </w:pPr>
            <w:r>
              <w:rPr>
                <w:rFonts w:hint="eastAsia" w:ascii="Times New Roman" w:hAnsi="Times New Roman" w:cs="Times New Roman" w:eastAsiaTheme="minorEastAsia"/>
                <w:color w:val="auto"/>
                <w:sz w:val="21"/>
                <w:szCs w:val="21"/>
                <w:highlight w:val="none"/>
                <w:lang w:val="zh-CN" w:eastAsia="zh-CN"/>
              </w:rPr>
              <w:t>建立环境法律法规和其他要求清单，共48个，</w:t>
            </w:r>
            <w:r>
              <w:rPr>
                <w:rFonts w:hint="eastAsia" w:ascii="Times New Roman" w:hAnsi="Times New Roman" w:cs="Times New Roman" w:eastAsiaTheme="minorEastAsia"/>
                <w:color w:val="auto"/>
                <w:sz w:val="21"/>
                <w:szCs w:val="21"/>
                <w:highlight w:val="none"/>
                <w:lang w:val="en-US" w:eastAsia="zh-CN"/>
              </w:rPr>
              <w:t>详见清单；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color w:val="auto"/>
                <w:sz w:val="21"/>
                <w:szCs w:val="21"/>
                <w:highlight w:val="none"/>
                <w:lang w:val="zh-CN" w:eastAsia="zh-CN"/>
              </w:rPr>
            </w:pPr>
            <w:r>
              <w:rPr>
                <w:rFonts w:hint="eastAsia" w:ascii="Times New Roman" w:hAnsi="Times New Roman" w:cs="Times New Roman" w:eastAsiaTheme="minorEastAsia"/>
                <w:color w:val="auto"/>
                <w:sz w:val="21"/>
                <w:szCs w:val="21"/>
                <w:highlight w:val="none"/>
                <w:lang w:val="zh-CN" w:eastAsia="zh-CN"/>
              </w:rPr>
              <w:t>基本符合。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color w:val="auto"/>
                <w:sz w:val="21"/>
                <w:szCs w:val="21"/>
                <w:highlight w:val="none"/>
                <w:lang w:val="zh-CN" w:eastAsia="zh-CN"/>
              </w:rPr>
            </w:pPr>
            <w:r>
              <w:rPr>
                <w:rFonts w:hint="eastAsia" w:ascii="Times New Roman" w:hAnsi="Times New Roman" w:cs="Times New Roman" w:eastAsiaTheme="minorEastAsia"/>
                <w:color w:val="auto"/>
                <w:sz w:val="21"/>
                <w:szCs w:val="21"/>
                <w:highlight w:val="none"/>
                <w:lang w:val="zh-CN" w:eastAsia="zh-CN"/>
              </w:rPr>
              <w:t>2021年3月27日至2021年3月28日进行合规性评价，保留有合规性评价记录和合规性评价报告。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color w:val="auto"/>
                <w:sz w:val="21"/>
                <w:szCs w:val="21"/>
                <w:highlight w:val="none"/>
                <w:lang w:val="zh-CN" w:eastAsia="zh-CN"/>
              </w:rPr>
            </w:pPr>
            <w:r>
              <w:rPr>
                <w:rFonts w:hint="eastAsia" w:ascii="Times New Roman" w:hAnsi="Times New Roman" w:cs="Times New Roman" w:eastAsiaTheme="minorEastAsia"/>
                <w:color w:val="auto"/>
                <w:sz w:val="21"/>
                <w:szCs w:val="21"/>
                <w:highlight w:val="none"/>
                <w:lang w:val="zh-CN" w:eastAsia="zh-CN"/>
              </w:rPr>
              <w:t>评价结论：自公司2021年1月建立管理体系以来，未发生任何破坏环境的现象及安全事故现象；未发生任何顾客、周边居民因环境事故而投诉的现象。</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jc w:val="left"/>
            </w:pPr>
            <w:r>
              <w:t>运行策划和控制</w:t>
            </w:r>
          </w:p>
          <w:p>
            <w:pPr>
              <w:pStyle w:val="2"/>
              <w:jc w:val="left"/>
              <w:rPr>
                <w:rFonts w:hint="eastAsia"/>
                <w:lang w:val="en-US" w:eastAsia="zh-CN"/>
              </w:rPr>
            </w:pPr>
            <w:r>
              <w:rPr>
                <w:rFonts w:hint="eastAsia" w:ascii="宋体" w:hAnsi="宋体" w:eastAsia="宋体" w:cs="Arial"/>
                <w:spacing w:val="-6"/>
                <w:sz w:val="21"/>
                <w:szCs w:val="21"/>
                <w:lang w:val="en-US" w:eastAsia="zh-CN"/>
              </w:rPr>
              <w:t>过程运行环境</w:t>
            </w:r>
          </w:p>
        </w:tc>
        <w:tc>
          <w:tcPr>
            <w:tcW w:w="1155" w:type="dxa"/>
            <w:vAlign w:val="center"/>
          </w:tcPr>
          <w:p>
            <w:pPr>
              <w:spacing w:line="360" w:lineRule="auto"/>
              <w:jc w:val="center"/>
              <w:rPr>
                <w:rFonts w:hint="default" w:ascii="宋体" w:hAnsi="宋体" w:eastAsia="宋体" w:cs="Arial"/>
                <w:color w:val="auto"/>
                <w:spacing w:val="-6"/>
                <w:kern w:val="2"/>
                <w:sz w:val="21"/>
                <w:szCs w:val="21"/>
                <w:lang w:val="en-US" w:eastAsia="zh-CN" w:bidi="ar-SA"/>
              </w:rPr>
            </w:pPr>
            <w:r>
              <w:rPr>
                <w:rFonts w:hint="eastAsia" w:ascii="宋体" w:hAnsi="宋体" w:cs="Arial"/>
                <w:color w:val="auto"/>
                <w:spacing w:val="-6"/>
                <w:kern w:val="2"/>
                <w:sz w:val="21"/>
                <w:szCs w:val="21"/>
                <w:lang w:val="en-US" w:eastAsia="zh-CN" w:bidi="ar-SA"/>
              </w:rPr>
              <w:t>Q:7.1.4</w:t>
            </w:r>
          </w:p>
          <w:p>
            <w:pPr>
              <w:spacing w:line="360" w:lineRule="auto"/>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E</w:t>
            </w:r>
            <w:r>
              <w:rPr>
                <w:rFonts w:hint="eastAsia" w:ascii="宋体" w:hAnsi="宋体" w:cs="Arial"/>
                <w:color w:val="auto"/>
                <w:spacing w:val="-6"/>
                <w:kern w:val="2"/>
                <w:sz w:val="21"/>
                <w:szCs w:val="21"/>
                <w:lang w:val="en-US" w:eastAsia="zh-CN" w:bidi="ar-SA"/>
              </w:rPr>
              <w:t>:</w:t>
            </w:r>
            <w:r>
              <w:rPr>
                <w:rFonts w:hint="eastAsia" w:ascii="宋体" w:hAnsi="宋体" w:eastAsia="宋体" w:cs="Arial"/>
                <w:color w:val="auto"/>
                <w:spacing w:val="-6"/>
                <w:kern w:val="2"/>
                <w:sz w:val="21"/>
                <w:szCs w:val="21"/>
                <w:lang w:val="en-US" w:eastAsia="zh-CN" w:bidi="ar-SA"/>
              </w:rPr>
              <w:t>8.1</w:t>
            </w:r>
          </w:p>
        </w:tc>
        <w:tc>
          <w:tcPr>
            <w:tcW w:w="9809"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现场观察：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占地面积大约400平方米，办公区域、厨房、就餐区布局合理，一、二食堂分设在两个校区；办公区配置有适量的绿植，通风、采光良好，中央空调使用，温度合适；满足办公需求。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作业人员熟知环保和健康安全要求；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厨房内冰箱生熟分存、代加工食材一般存放于塑料框中，加工好的菜肴存放在不锈钢盆中，保持有食品留样；米面、食用油、调味品等存放在货架上，整齐有序；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厨房和餐厅均设置有消防装置，标识清晰、设置齐全，有灭蝇灯，配置有消毒柜，正常运行；餐厅地面干净整洁，餐座椅排放有序，墙面张贴有节约粮食等标语；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废水：使用无磷洗涤剂清洗餐具和地面，地面铺有防滑垫，生活污水、食堂废水排入市政污水管网，经工业园区的沉淀池沉淀后排放至污水处理站集中处理；沉淀污泥由园区清掏；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废气：生产过程的热厨加工油烟由集气罩收集，通过油烟机抽排后经排气筒排放；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能源消耗：</w:t>
            </w:r>
            <w:r>
              <w:rPr>
                <w:rFonts w:hint="default" w:ascii="Times New Roman" w:hAnsi="Times New Roman" w:cs="Times New Roman" w:eastAsiaTheme="minorEastAsia"/>
                <w:color w:val="auto"/>
                <w:sz w:val="21"/>
                <w:szCs w:val="21"/>
                <w:highlight w:val="none"/>
                <w:lang w:val="en-US" w:eastAsia="zh-CN"/>
              </w:rPr>
              <w:t>厨房使用</w:t>
            </w:r>
            <w:r>
              <w:rPr>
                <w:rFonts w:hint="eastAsia" w:ascii="Times New Roman" w:hAnsi="Times New Roman" w:cs="Times New Roman" w:eastAsiaTheme="minorEastAsia"/>
                <w:color w:val="auto"/>
                <w:sz w:val="21"/>
                <w:szCs w:val="21"/>
                <w:highlight w:val="none"/>
                <w:lang w:val="en-US" w:eastAsia="zh-CN"/>
              </w:rPr>
              <w:t>燃油</w:t>
            </w:r>
            <w:r>
              <w:rPr>
                <w:rFonts w:hint="default" w:ascii="Times New Roman" w:hAnsi="Times New Roman" w:cs="Times New Roman" w:eastAsiaTheme="minorEastAsia"/>
                <w:color w:val="auto"/>
                <w:sz w:val="21"/>
                <w:szCs w:val="21"/>
                <w:highlight w:val="none"/>
                <w:lang w:val="en-US" w:eastAsia="zh-CN"/>
              </w:rPr>
              <w:t>供热</w:t>
            </w:r>
            <w:r>
              <w:rPr>
                <w:rFonts w:hint="eastAsia" w:ascii="Times New Roman" w:hAnsi="Times New Roman" w:cs="Times New Roman" w:eastAsiaTheme="minorEastAsia"/>
                <w:color w:val="auto"/>
                <w:sz w:val="21"/>
                <w:szCs w:val="21"/>
                <w:highlight w:val="none"/>
                <w:lang w:val="en-US" w:eastAsia="zh-CN"/>
              </w:rPr>
              <w:t>，能节约使用并进行消耗量控制；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噪声：</w:t>
            </w:r>
            <w:r>
              <w:rPr>
                <w:rFonts w:hint="default" w:ascii="Times New Roman" w:hAnsi="Times New Roman" w:cs="Times New Roman" w:eastAsiaTheme="minorEastAsia"/>
                <w:color w:val="auto"/>
                <w:sz w:val="21"/>
                <w:szCs w:val="21"/>
                <w:highlight w:val="none"/>
                <w:lang w:val="en-US" w:eastAsia="zh-CN"/>
              </w:rPr>
              <w:t>餐厅</w:t>
            </w:r>
            <w:r>
              <w:rPr>
                <w:rFonts w:hint="eastAsia" w:ascii="Times New Roman" w:hAnsi="Times New Roman" w:cs="Times New Roman" w:eastAsiaTheme="minorEastAsia"/>
                <w:color w:val="auto"/>
                <w:sz w:val="21"/>
                <w:szCs w:val="21"/>
                <w:highlight w:val="none"/>
                <w:lang w:val="en-US" w:eastAsia="zh-CN"/>
              </w:rPr>
              <w:t>、</w:t>
            </w:r>
            <w:r>
              <w:rPr>
                <w:rFonts w:hint="default" w:ascii="Times New Roman" w:hAnsi="Times New Roman" w:cs="Times New Roman" w:eastAsiaTheme="minorEastAsia"/>
                <w:color w:val="auto"/>
                <w:sz w:val="21"/>
                <w:szCs w:val="21"/>
                <w:highlight w:val="none"/>
                <w:lang w:val="en-US" w:eastAsia="zh-CN"/>
              </w:rPr>
              <w:t>厨房</w:t>
            </w:r>
            <w:r>
              <w:rPr>
                <w:rFonts w:hint="eastAsia" w:ascii="Times New Roman" w:hAnsi="Times New Roman" w:cs="Times New Roman" w:eastAsiaTheme="minorEastAsia"/>
                <w:color w:val="auto"/>
                <w:sz w:val="21"/>
                <w:szCs w:val="21"/>
                <w:highlight w:val="none"/>
                <w:lang w:val="en-US" w:eastAsia="zh-CN"/>
              </w:rPr>
              <w:t>等地</w:t>
            </w:r>
            <w:r>
              <w:rPr>
                <w:rFonts w:hint="default" w:ascii="Times New Roman" w:hAnsi="Times New Roman" w:cs="Times New Roman" w:eastAsiaTheme="minorEastAsia"/>
                <w:color w:val="auto"/>
                <w:sz w:val="21"/>
                <w:szCs w:val="21"/>
                <w:highlight w:val="none"/>
                <w:lang w:val="en-US" w:eastAsia="zh-CN"/>
              </w:rPr>
              <w:t>无明显噪声；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固废：</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厨余垃圾收集在垃圾袋中，分类存放，泔水收集在泔水桶中，介绍说每天由协议单位收集转运处理；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学生餐具自带，不使用一次性餐具；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办公室有垃圾桶，办公过程产生的垃圾统一收集、市政环卫部门处理；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介绍说办公用废弃硒鼓由供应商回收，以旧换新；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办公室无明显噪声和异味，无废气排放；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生活废水经市政管网排放；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按公司要求人走关灯，电脑要求人走后电源切断；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节约用水用电、纸张双面使用；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办公区域配备了灭火器材；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办公室内主要是电的使用，现场查看电路、电源正常，无乱拉乱接电线、使用超额电气等现象。</w:t>
            </w:r>
          </w:p>
        </w:tc>
        <w:tc>
          <w:tcPr>
            <w:tcW w:w="1585" w:type="dxa"/>
          </w:tcPr>
          <w:p>
            <w:pPr>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jc w:val="left"/>
              <w:rPr>
                <w:rFonts w:hint="eastAsia" w:ascii="Times New Roman" w:hAnsi="Times New Roman" w:eastAsia="宋体" w:cs="Times New Roman"/>
                <w:kern w:val="2"/>
                <w:sz w:val="21"/>
                <w:szCs w:val="21"/>
                <w:lang w:val="en-US" w:eastAsia="zh-CN" w:bidi="ar-SA"/>
              </w:rPr>
            </w:pPr>
            <w:r>
              <w:rPr>
                <w:rFonts w:hAnsi="宋体"/>
                <w:szCs w:val="21"/>
              </w:rPr>
              <w:t>应急准备和响应</w:t>
            </w:r>
          </w:p>
        </w:tc>
        <w:tc>
          <w:tcPr>
            <w:tcW w:w="1155" w:type="dxa"/>
            <w:vAlign w:val="center"/>
          </w:tcPr>
          <w:p>
            <w:pPr>
              <w:spacing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E：8.2</w:t>
            </w:r>
          </w:p>
        </w:tc>
        <w:tc>
          <w:tcPr>
            <w:tcW w:w="9809"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保持有：火灾应急预案、触电事故应急预案、食物中毒应急预案；基本符合；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查见“应急预案演练记录”，显示2021年3月21日，公司组织进行了火灾事故应急响应演练；明确了演练类别、演练内容、物资准备和人员培训情况、演练过程描述、人员分工等内容；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总结：对演练效果进行了评价；未发现预案需要改进的需求。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另查见2021年3月22日，公司组织进行了触电事故应急预案的演练；同上。</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160" w:type="dxa"/>
            <w:vAlign w:val="center"/>
          </w:tcPr>
          <w:p>
            <w:pPr>
              <w:spacing w:line="360" w:lineRule="auto"/>
              <w:jc w:val="left"/>
              <w:rPr>
                <w:rFonts w:hint="eastAsia" w:ascii="Times New Roman" w:hAnsi="Times New Roman" w:eastAsia="宋体" w:cs="Times New Roman"/>
                <w:kern w:val="2"/>
                <w:sz w:val="21"/>
                <w:szCs w:val="21"/>
                <w:lang w:val="en-US" w:eastAsia="zh-CN" w:bidi="ar-SA"/>
              </w:rPr>
            </w:pPr>
            <w:r>
              <w:rPr>
                <w:rFonts w:hAnsi="宋体"/>
                <w:szCs w:val="21"/>
              </w:rPr>
              <w:t>内部审核</w:t>
            </w:r>
          </w:p>
        </w:tc>
        <w:tc>
          <w:tcPr>
            <w:tcW w:w="1155" w:type="dxa"/>
            <w:vAlign w:val="center"/>
          </w:tcPr>
          <w:p>
            <w:pPr>
              <w:spacing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QE</w:t>
            </w:r>
            <w:r>
              <w:rPr>
                <w:rFonts w:hint="eastAsia" w:ascii="宋体" w:hAnsi="宋体" w:cs="Arial"/>
                <w:color w:val="auto"/>
                <w:spacing w:val="-6"/>
                <w:kern w:val="2"/>
                <w:sz w:val="21"/>
                <w:szCs w:val="21"/>
                <w:lang w:val="en-US" w:eastAsia="zh-CN" w:bidi="ar-SA"/>
              </w:rPr>
              <w:t>:</w:t>
            </w:r>
            <w:r>
              <w:rPr>
                <w:rFonts w:hint="eastAsia" w:ascii="宋体" w:hAnsi="宋体" w:eastAsia="宋体" w:cs="Arial"/>
                <w:color w:val="auto"/>
                <w:spacing w:val="-6"/>
                <w:kern w:val="2"/>
                <w:sz w:val="21"/>
                <w:szCs w:val="21"/>
                <w:lang w:val="en-US" w:eastAsia="zh-CN" w:bidi="ar-SA"/>
              </w:rPr>
              <w:t>9.2</w:t>
            </w:r>
          </w:p>
        </w:tc>
        <w:tc>
          <w:tcPr>
            <w:tcW w:w="9809" w:type="dxa"/>
          </w:tcPr>
          <w:p>
            <w:pPr>
              <w:spacing w:line="360" w:lineRule="auto"/>
              <w:ind w:firstLine="420" w:firstLineChars="200"/>
              <w:rPr>
                <w:rFonts w:hint="eastAsia"/>
                <w:highlight w:val="none"/>
                <w:lang w:val="en-US" w:eastAsia="zh-CN"/>
              </w:rPr>
            </w:pPr>
            <w:r>
              <w:rPr>
                <w:rFonts w:hint="eastAsia"/>
                <w:highlight w:val="none"/>
                <w:lang w:val="en-US" w:eastAsia="zh-CN"/>
              </w:rPr>
              <w:t>2021年4月3-4日，对各部门进行了内审，保留了内审计划、内审记录、不符合报告、内审报告；内审覆盖了管理体系范围内的活动及标准的要求；</w:t>
            </w:r>
          </w:p>
          <w:p>
            <w:pPr>
              <w:spacing w:line="360" w:lineRule="auto"/>
              <w:ind w:firstLine="420" w:firstLineChars="200"/>
              <w:rPr>
                <w:rFonts w:hint="default"/>
                <w:highlight w:val="none"/>
                <w:lang w:val="en-US" w:eastAsia="zh-CN"/>
              </w:rPr>
            </w:pPr>
            <w:r>
              <w:rPr>
                <w:rFonts w:hint="eastAsia"/>
                <w:highlight w:val="none"/>
                <w:lang w:val="en-US" w:eastAsia="zh-CN"/>
              </w:rPr>
              <w:t>本次内审开具不符合报告1份，已整改，有整改验收记录；</w:t>
            </w:r>
          </w:p>
          <w:p>
            <w:pPr>
              <w:spacing w:line="360" w:lineRule="auto"/>
              <w:ind w:firstLine="420" w:firstLineChars="200"/>
              <w:rPr>
                <w:highlight w:val="none"/>
              </w:rPr>
            </w:pPr>
            <w:r>
              <w:rPr>
                <w:rFonts w:hint="eastAsia"/>
                <w:highlight w:val="none"/>
                <w:lang w:val="en-US" w:eastAsia="zh-CN"/>
              </w:rPr>
              <w:t>内审结论为：体系运行基本良好，运行达到一定的效果，基本符合标准的要求，但仍存在不足，各部门应举一反三，对类似问题予以整改。</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jc w:val="left"/>
              <w:rPr>
                <w:rFonts w:hint="eastAsia" w:ascii="Times New Roman" w:hAnsi="Times New Roman" w:eastAsia="宋体" w:cs="Times New Roman"/>
                <w:kern w:val="2"/>
                <w:sz w:val="21"/>
                <w:szCs w:val="21"/>
                <w:lang w:val="en-US" w:eastAsia="zh-CN" w:bidi="ar-SA"/>
              </w:rPr>
            </w:pPr>
            <w:r>
              <w:rPr>
                <w:rFonts w:hAnsi="宋体"/>
                <w:szCs w:val="21"/>
              </w:rPr>
              <w:t>不合格和纠正措施</w:t>
            </w:r>
          </w:p>
        </w:tc>
        <w:tc>
          <w:tcPr>
            <w:tcW w:w="1155" w:type="dxa"/>
            <w:vAlign w:val="center"/>
          </w:tcPr>
          <w:p>
            <w:pPr>
              <w:spacing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QE</w:t>
            </w:r>
            <w:r>
              <w:rPr>
                <w:rFonts w:hint="eastAsia" w:ascii="宋体" w:hAnsi="宋体" w:cs="Arial"/>
                <w:color w:val="auto"/>
                <w:spacing w:val="-6"/>
                <w:kern w:val="2"/>
                <w:sz w:val="21"/>
                <w:szCs w:val="21"/>
                <w:lang w:val="en-US" w:eastAsia="zh-CN" w:bidi="ar-SA"/>
              </w:rPr>
              <w:t>:</w:t>
            </w:r>
            <w:r>
              <w:rPr>
                <w:rFonts w:hint="eastAsia" w:ascii="宋体" w:hAnsi="宋体" w:eastAsia="宋体" w:cs="Arial"/>
                <w:color w:val="auto"/>
                <w:spacing w:val="-6"/>
                <w:kern w:val="2"/>
                <w:sz w:val="21"/>
                <w:szCs w:val="21"/>
                <w:lang w:val="en-US" w:eastAsia="zh-CN" w:bidi="ar-SA"/>
              </w:rPr>
              <w:t>10.2</w:t>
            </w:r>
          </w:p>
        </w:tc>
        <w:tc>
          <w:tcPr>
            <w:tcW w:w="9809" w:type="dxa"/>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 xml:space="preserve">公司建立“不符合、纠正和预防措施控制程序”、“事故调查处理控制程序”，有效文件，无变化。对纠正预防措施识别、评审、验证，事故事件报告、调查、处理等进行了策划。 </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对日常检查和内审、管理评审中提出的不合格项进行了原因分析，并策划纠正措施并实施，对所采取的纠正措施进行验证。</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体系运行以来公司按照体系的要求，通过运行控制、加强培训，以及开展管理评审活动等方式采取预防措施，防止不符合/不合格的发生，不符合得到了有效控制。</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公司成立以来没有发生重大质量事故和投诉处罚，没有发生环境事件和投诉处罚。</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eastAsia" w:ascii="宋体" w:hAnsi="宋体" w:cs="Arial"/>
                <w:color w:val="auto"/>
                <w:spacing w:val="-6"/>
                <w:sz w:val="21"/>
                <w:szCs w:val="21"/>
                <w:highlight w:val="none"/>
                <w:lang w:val="en-US" w:eastAsia="zh-CN"/>
              </w:rPr>
              <w:t>基本符合标准规定要求。</w:t>
            </w:r>
          </w:p>
        </w:tc>
        <w:tc>
          <w:tcPr>
            <w:tcW w:w="1585" w:type="dxa"/>
          </w:tcPr>
          <w:p>
            <w:pPr>
              <w:rPr>
                <w:rFonts w:hint="eastAsia" w:eastAsia="宋体"/>
                <w:lang w:val="en-US" w:eastAsia="zh-CN"/>
              </w:rPr>
            </w:pPr>
            <w:r>
              <w:rPr>
                <w:rFonts w:hint="eastAsia"/>
                <w:lang w:val="en-US" w:eastAsia="zh-CN"/>
              </w:rPr>
              <w:t>Y</w:t>
            </w: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025"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Qaq5dYAAAAKAQAADwAAAAAAAAABACAAAAAiAAAAZHJzL2Rvd25yZXYu&#10;eG1sUEsBAhQAFAAAAAgAh07iQO6djL7EAQAAegMAAA4AAAAAAAAAAQAgAAAAJQ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506AF8"/>
    <w:rsid w:val="14520190"/>
    <w:rsid w:val="43790D36"/>
    <w:rsid w:val="5C7C15BF"/>
    <w:rsid w:val="797C7F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9"/>
    <w:pPr>
      <w:keepNext/>
      <w:jc w:val="center"/>
      <w:outlineLvl w:val="1"/>
    </w:pPr>
    <w:rPr>
      <w:rFonts w:ascii="宋体" w:hAnsi="宋体"/>
      <w:b/>
      <w:sz w:val="5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semiHidden/>
    <w:unhideWhenUsed/>
    <w:qFormat/>
    <w:uiPriority w:val="99"/>
    <w:pPr>
      <w:spacing w:after="120" w:afterLines="0" w:afterAutospacing="0"/>
    </w:p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2021-06-17T06:33:21Z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