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品保部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朱枝荣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钟华建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刘秋秋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QMS：5.3组织的岗位、职责和权限、6.2质量目标、7.1.5监视和测量资源、8.6放行、8.7不合格品控制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EMS：5.3组织的岗位、职责和权限、6.2环境目标及措施策划、6.1.2环境因素辨识与评价识别与评价、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品保部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现有1人，主要负责：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1）编制相应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规程、产品检验接收规程及相关作业指导书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（菜谱）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，明确关键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2）采购产品的验证；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3）本公司监视和测量设备的管理工作；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）本部门环境因素、危险源的识别评价和控制措施的实施。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目标及措施策划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查品保部的质量、环境目标为：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服务执行率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产品一次检验合格率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确保生产设备完好率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固体废弃物分类处置率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火灾、触电事故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highlight w:val="none"/>
                <w:lang w:val="en-US" w:eastAsia="zh-CN"/>
              </w:rPr>
              <w:t>“目标考核记录表”显示对目标完成情况进行了季度考核，均完成.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Align w:val="center"/>
          </w:tcPr>
          <w:p>
            <w:pPr>
              <w:pStyle w:val="2"/>
              <w:ind w:firstLine="396" w:firstLineChars="200"/>
              <w:jc w:val="center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监测装置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ind w:firstLine="420" w:firstLineChars="200"/>
              <w:rPr>
                <w:rFonts w:hint="eastAsia"/>
                <w:szCs w:val="22"/>
                <w:lang w:val="zh-CN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建立有检测设备台账，查见登记了</w:t>
            </w:r>
            <w:r>
              <w:rPr>
                <w:rFonts w:hint="eastAsia"/>
                <w:szCs w:val="22"/>
                <w:lang w:val="zh-CN" w:eastAsia="zh-CN"/>
              </w:rPr>
              <w:t>检测设备：食品安全检测仪、农残检测仪等；</w:t>
            </w:r>
          </w:p>
          <w:p>
            <w:pPr>
              <w:pStyle w:val="2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查见鉴定证书：</w:t>
            </w:r>
          </w:p>
          <w:p>
            <w:pPr>
              <w:pStyle w:val="2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手持干式综合食品分析仪——OK-SC6，2021.6.11，校准结果符合；</w:t>
            </w:r>
          </w:p>
          <w:p>
            <w:pPr>
              <w:pStyle w:val="2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微电脑农药残留速测仪</w:t>
            </w:r>
            <w:r>
              <w:rPr>
                <w:rFonts w:hint="eastAsia"/>
                <w:szCs w:val="22"/>
                <w:lang w:val="en-US" w:eastAsia="zh-CN"/>
              </w:rPr>
              <w:t>——</w:t>
            </w:r>
            <w:r>
              <w:rPr>
                <w:rFonts w:hint="default"/>
                <w:szCs w:val="22"/>
                <w:lang w:val="en-US" w:eastAsia="zh-CN"/>
              </w:rPr>
              <w:t>OK-C8S</w:t>
            </w:r>
            <w:r>
              <w:rPr>
                <w:rFonts w:hint="eastAsia"/>
                <w:szCs w:val="22"/>
                <w:lang w:val="en-US" w:eastAsia="zh-CN"/>
              </w:rPr>
              <w:t>，2021.6.11，校准结果通过；</w:t>
            </w:r>
          </w:p>
          <w:p>
            <w:pPr>
              <w:pStyle w:val="2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以上证书均由</w:t>
            </w:r>
            <w:bookmarkStart w:id="0" w:name="_GoBack"/>
            <w:r>
              <w:rPr>
                <w:rFonts w:hint="default"/>
                <w:szCs w:val="22"/>
                <w:lang w:val="en-US" w:eastAsia="zh-CN"/>
              </w:rPr>
              <w:t>湖南航测检测技术服务有限公司</w:t>
            </w:r>
            <w:r>
              <w:rPr>
                <w:rFonts w:hint="eastAsia"/>
                <w:szCs w:val="22"/>
                <w:lang w:val="en-US" w:eastAsia="zh-CN"/>
              </w:rPr>
              <w:t>出具</w:t>
            </w:r>
            <w:bookmarkEnd w:id="0"/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现场观察，检测设备存放得当，使用过程能比较妥善的使用。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0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环境因素识别与评价</w:t>
            </w:r>
          </w:p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E:6.1.2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查见“环境因素辨识和评价表”，对办公区域进行辨识和评价。见有辨识办公活动能源使用、厨房、仓储等33项；考虑了生命周期观点，基本合理。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打分法评价，查见“重要环境因素清单”，明确了潜在火灾、能源消耗、固废排放、污水排放、油烟排放等环境因素为重要环境因素。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通过制定目标、管理方案、应急预案、日常检查与控制等方法，对环境因素进行控制。针对重要环境因素，制定有“环境管理目标、指标及其管理方案一览表”，明确了指标、方法、措施/技术手段、责任部门、检查部门、日常运行控制部门等.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</w:t>
            </w:r>
            <w:r>
              <w:rPr>
                <w:rFonts w:hint="eastAsia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办公室有垃圾桶，办公过程产生的垃圾统一收集、市政环卫部门处理；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介绍说办公用废弃硒鼓由供应商回收，以旧换新；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办公室无明显噪声和异味，无废气排放；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按公司要求人走关灯，电脑要求人走后电源切断；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办公区域配备了灭火器材；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办公室内主要是电的使用，现场查看电路、电源正常，无乱拉乱接电线、使用超额电气等现象。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</w:t>
            </w:r>
            <w:r>
              <w:rPr>
                <w:rFonts w:hint="eastAsia" w:cs="Times New Roman"/>
                <w:szCs w:val="22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组织的应急演练，见</w:t>
            </w:r>
            <w:r>
              <w:rPr>
                <w:rFonts w:hint="eastAsia" w:cs="Times New Roman"/>
                <w:szCs w:val="22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Q:8.6</w:t>
            </w:r>
          </w:p>
          <w:p>
            <w:pPr>
              <w:jc w:val="center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0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公司策划了监视和测量控制程序；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收集了相关标准：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食品安全国家标准食品中过氧化值的测定GB5009.227-2016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食品安全国家标准食品中酸价的测定GB5009.229-2016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 5009.229-2016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畜禽产品消毒规范GB/T 16569-1996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肉类加工厂卫生规范GB/T 20094-2006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屠宰和肉类加工厂企业卫生注册管理规范GB/T 20094-2006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鲜、冻肉运输条件GB/T 20799-2006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畜禽屠宰HACCP应用规范GB/T 20551-2006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鲜冻畜肉卫生标准GB 2707-2005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品保部根据策划的安排，实施了验证产品和服务满足要求的活动——原材料检验和成品检验；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介绍说，烹饪过程是一个连续过程，无法进行过程中检验，主要是通过厨师个人的能力和经验进行掌握，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通过厨师现场嗅觉判断和目测</w:t>
            </w:r>
            <w:r>
              <w:rPr>
                <w:rFonts w:hint="eastAsia"/>
                <w:lang w:val="en-US" w:eastAsia="zh-CN"/>
              </w:rPr>
              <w:t>；作为需要确认的过程，详见物料部审核记录；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查见“进货验收制度”，规定了原材料检验的程序和要求；有效文件，无变化；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抽查见：</w:t>
            </w:r>
          </w:p>
          <w:p>
            <w:pPr>
              <w:pStyle w:val="2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食品采购检验表，记录食品名称、原料质量等，验收人签名；</w:t>
            </w:r>
          </w:p>
          <w:p>
            <w:pPr>
              <w:pStyle w:val="2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2021.4.20——蒜苔、莲藕、四季豆等；</w:t>
            </w:r>
          </w:p>
          <w:p>
            <w:pPr>
              <w:pStyle w:val="2"/>
              <w:ind w:firstLine="630" w:firstLineChars="3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2021.5.16——土豆、笋干、毛豆、瘦肉等；</w:t>
            </w:r>
          </w:p>
          <w:p>
            <w:pPr>
              <w:pStyle w:val="2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2021.6.2——粉干、烧卖、四喜丸子、咸鱼、花生等；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以上检验结果均合格。</w:t>
            </w:r>
          </w:p>
          <w:p>
            <w:pPr>
              <w:pStyle w:val="2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介绍说，对于检验不合格的原材料采取直接退货的方式处理，未保留记录，交流。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成品检验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介绍说主要是通过第三方抽检，查见“检验报告”：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生活饮用水（末梢水）——2021.2.10；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萝卜焖肉——2021.3.22；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素炒大白菜——2021.3.22；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消毒餐具——2021.3.3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以上检验结果均合格；南昌市红谷滩新区疾病预防控制中心出具。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920" w:type="dxa"/>
          </w:tcPr>
          <w:p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200" w:type="dxa"/>
          </w:tcPr>
          <w:p>
            <w:pP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100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编制了《不符合、纠正和预防措施控制程序》，有效文件。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介绍说，公司产品不存在不合格的情况；体系运行以来没发生对不合格品进行让步放行的情况；采购进货检验中发现的不合格品，由品保部负责退回供应商，目前，公司的供应商比较稳定，产品质量达到公司的质量要求，未出现采购不合格的情况部门对不合格品的性质、处理的措施及结论的结果进行了记录及保持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70A5"/>
    <w:rsid w:val="3B4D33FD"/>
    <w:rsid w:val="3FAC2AE1"/>
    <w:rsid w:val="44713CCF"/>
    <w:rsid w:val="495A0394"/>
    <w:rsid w:val="4EF546E5"/>
    <w:rsid w:val="69776251"/>
    <w:rsid w:val="7EBC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28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2021-06-17T06:33:26Z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