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0577-2021-QE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江西港滋源餐饮管理有限公司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褚敏杰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刘秋秋</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tc>
        <w:tc>
          <w:tcPr>
            <w:tcW w:w="2179" w:type="dxa"/>
            <w:gridSpan w:val="2"/>
            <w:vAlign w:val="center"/>
          </w:tcPr>
          <w:p>
            <w:pPr>
              <w:spacing w:line="240" w:lineRule="exact"/>
              <w:jc w:val="center"/>
              <w:rPr>
                <w:b/>
                <w:color w:val="000000"/>
                <w:sz w:val="20"/>
                <w:szCs w:val="20"/>
              </w:rPr>
            </w:pPr>
            <w:r>
              <w:rPr>
                <w:b/>
                <w:color w:val="000000"/>
                <w:sz w:val="20"/>
                <w:szCs w:val="20"/>
              </w:rPr>
              <w:t>Q:30.05.00</w:t>
            </w:r>
          </w:p>
          <w:p>
            <w:pPr>
              <w:spacing w:line="240" w:lineRule="exact"/>
              <w:jc w:val="center"/>
              <w:rPr>
                <w:b/>
                <w:color w:val="000000"/>
                <w:sz w:val="20"/>
                <w:szCs w:val="20"/>
              </w:rPr>
            </w:pPr>
            <w:r>
              <w:rPr>
                <w:b/>
                <w:color w:val="000000"/>
                <w:sz w:val="20"/>
                <w:szCs w:val="20"/>
              </w:rP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en-US" w:eastAsia="zh-CN"/>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江西港滋源餐饮管理有限公司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江西省南昌市红谷滩区丰和南大道2111号世茂新城A-12-2地块单体7#办公楼-225室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center"/>
          </w:tcPr>
          <w:p>
            <w:pPr>
              <w:spacing w:line="280" w:lineRule="exact"/>
              <w:jc w:val="center"/>
              <w:rPr>
                <w:rFonts w:ascii="宋体"/>
                <w:b/>
                <w:color w:val="000000"/>
                <w:sz w:val="20"/>
                <w:szCs w:val="20"/>
              </w:rPr>
            </w:pPr>
            <w:bookmarkStart w:id="11" w:name="注册邮编"/>
            <w:r>
              <w:rPr>
                <w:rFonts w:ascii="宋体"/>
                <w:b/>
                <w:color w:val="000000"/>
                <w:sz w:val="20"/>
                <w:szCs w:val="20"/>
              </w:rPr>
              <w:t>330038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ascii="宋体"/>
                <w:b/>
                <w:color w:val="000000"/>
                <w:sz w:val="20"/>
                <w:szCs w:val="20"/>
              </w:rPr>
            </w:pPr>
            <w:bookmarkStart w:id="12" w:name="经营地址"/>
            <w:bookmarkEnd w:id="12"/>
            <w:r>
              <w:rPr>
                <w:rFonts w:ascii="宋体"/>
                <w:b/>
                <w:color w:val="000000"/>
                <w:sz w:val="20"/>
                <w:szCs w:val="20"/>
              </w:rPr>
              <w:t>江西省南昌市青山湖区昌东工业园沈桥路899号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center"/>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ascii="宋体"/>
                <w:b/>
                <w:color w:val="000000"/>
                <w:sz w:val="20"/>
                <w:szCs w:val="20"/>
              </w:rPr>
            </w:pPr>
            <w:bookmarkStart w:id="14" w:name="生产地址Add1"/>
            <w:r>
              <w:rPr>
                <w:rFonts w:ascii="宋体"/>
                <w:b/>
                <w:color w:val="000000"/>
                <w:sz w:val="20"/>
                <w:szCs w:val="20"/>
              </w:rPr>
              <w:t>江西省南昌市青山湖区昌东工业园沈桥路899号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center"/>
              <w:rPr>
                <w:rFonts w:ascii="宋体"/>
                <w:b/>
                <w:color w:val="000000"/>
                <w:sz w:val="20"/>
                <w:szCs w:val="20"/>
              </w:rPr>
            </w:pPr>
            <w:bookmarkStart w:id="15" w:name="生产邮编Add1"/>
            <w:r>
              <w:rPr>
                <w:rFonts w:ascii="宋体"/>
                <w:b/>
                <w:color w:val="000000"/>
                <w:sz w:val="20"/>
                <w:szCs w:val="20"/>
              </w:rPr>
              <w:t>330012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bookmarkStart w:id="16" w:name="联系人Add1"/>
            <w:r>
              <w:rPr>
                <w:rFonts w:ascii="宋体"/>
                <w:b/>
                <w:color w:val="000000"/>
                <w:sz w:val="20"/>
                <w:szCs w:val="20"/>
              </w:rPr>
              <w:t>钟华建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18779053191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center"/>
          </w:tcPr>
          <w:p>
            <w:pPr>
              <w:spacing w:line="280" w:lineRule="exact"/>
              <w:jc w:val="center"/>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吴海波</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钟华建</w:t>
            </w:r>
            <w:bookmarkEnd w:id="20"/>
          </w:p>
        </w:tc>
        <w:tc>
          <w:tcPr>
            <w:tcW w:w="1242" w:type="dxa"/>
            <w:vAlign w:val="center"/>
          </w:tcPr>
          <w:p>
            <w:pPr>
              <w:jc w:val="center"/>
              <w:rPr>
                <w:rFonts w:ascii="宋体"/>
                <w:b/>
                <w:color w:val="000000"/>
                <w:sz w:val="20"/>
                <w:szCs w:val="20"/>
              </w:rPr>
            </w:pPr>
            <w:r>
              <w:rPr>
                <w:rFonts w:hint="eastAsia" w:ascii="宋体"/>
                <w:b/>
                <w:color w:val="000000"/>
                <w:sz w:val="20"/>
                <w:szCs w:val="20"/>
              </w:rPr>
              <w:t>邮箱</w:t>
            </w:r>
          </w:p>
        </w:tc>
        <w:tc>
          <w:tcPr>
            <w:tcW w:w="1558" w:type="dxa"/>
            <w:vAlign w:val="center"/>
          </w:tcPr>
          <w:p>
            <w:pPr>
              <w:jc w:val="center"/>
              <w:rPr>
                <w:rFonts w:ascii="宋体"/>
                <w:b/>
                <w:color w:val="000000"/>
                <w:sz w:val="20"/>
                <w:szCs w:val="20"/>
              </w:rPr>
            </w:pPr>
            <w:bookmarkStart w:id="21" w:name="联系人邮箱Add1"/>
            <w:r>
              <w:rPr>
                <w:rFonts w:ascii="宋体"/>
                <w:b/>
                <w:color w:val="000000"/>
                <w:sz w:val="20"/>
                <w:szCs w:val="20"/>
              </w:rPr>
              <w:t>907257312@qq.com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2021年01月05日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Q：餐饮服务</w:t>
            </w:r>
          </w:p>
          <w:p>
            <w:pPr>
              <w:spacing w:line="400" w:lineRule="exact"/>
              <w:rPr>
                <w:rFonts w:ascii="宋体" w:hAnsi="宋体"/>
                <w:b/>
                <w:color w:val="000000"/>
                <w:sz w:val="20"/>
                <w:szCs w:val="20"/>
              </w:rPr>
            </w:pPr>
            <w:r>
              <w:rPr>
                <w:rFonts w:ascii="宋体" w:hAnsi="宋体"/>
                <w:b/>
                <w:color w:val="000000"/>
                <w:sz w:val="20"/>
                <w:szCs w:val="20"/>
              </w:rPr>
              <w:t>E：餐饮服务所涉及场所的相关环境管理活动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Q：30.05.00</w:t>
            </w:r>
          </w:p>
          <w:p>
            <w:pPr>
              <w:spacing w:line="280" w:lineRule="exact"/>
              <w:rPr>
                <w:rFonts w:ascii="宋体"/>
                <w:b/>
                <w:color w:val="000000"/>
                <w:sz w:val="20"/>
                <w:szCs w:val="20"/>
              </w:rPr>
            </w:pPr>
            <w:r>
              <w:rPr>
                <w:rFonts w:ascii="宋体"/>
                <w:b/>
                <w:color w:val="000000"/>
                <w:sz w:val="20"/>
                <w:szCs w:val="20"/>
              </w:rPr>
              <w:t>E：30.05.00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highlight w:val="none"/>
        </w:rPr>
        <w:t>行政部、物流部、业务部、品保部、财务部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场所：江西省南昌市青山湖区昌东工业园沈桥路899号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公司部门设置：行政部、物流部、业务部、品保部、财务部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物流部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客户的场所：江西省南昌市青山湖区昌东工业园沈桥路899号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hint="eastAsia" w:ascii="宋体" w:hAnsi="宋体"/>
                <w:color w:val="000000"/>
                <w:sz w:val="20"/>
                <w:szCs w:val="20"/>
                <w:lang w:eastAsia="zh-CN"/>
              </w:rPr>
              <w:t>；</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hint="eastAsia" w:ascii="宋体" w:hAnsi="宋体"/>
                <w:color w:val="000000"/>
                <w:sz w:val="20"/>
                <w:szCs w:val="20"/>
                <w:lang w:eastAsia="zh-CN"/>
              </w:rPr>
              <w:t>；</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受审核方位于：江西省南昌市青山湖区昌东工业园沈桥路899号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auto"/>
                <w:sz w:val="20"/>
                <w:szCs w:val="20"/>
              </w:rPr>
            </w:pPr>
            <w:r>
              <w:rPr>
                <w:rFonts w:hint="eastAsia" w:ascii="宋体" w:hAnsi="宋体"/>
                <w:color w:val="auto"/>
                <w:sz w:val="20"/>
                <w:szCs w:val="20"/>
              </w:rPr>
              <w:t>受审核方环境管理体系认证范围内的合规性证据</w:t>
            </w:r>
          </w:p>
        </w:tc>
        <w:tc>
          <w:tcPr>
            <w:tcW w:w="7427" w:type="dxa"/>
            <w:gridSpan w:val="3"/>
          </w:tcPr>
          <w:p>
            <w:pPr>
              <w:rPr>
                <w:rFonts w:ascii="宋体"/>
                <w:color w:val="auto"/>
                <w:sz w:val="20"/>
                <w:szCs w:val="20"/>
              </w:rPr>
            </w:pPr>
            <w:r>
              <w:rPr>
                <w:rFonts w:hint="eastAsia" w:ascii="宋体"/>
                <w:color w:val="auto"/>
                <w:sz w:val="20"/>
                <w:szCs w:val="20"/>
              </w:rPr>
              <w:t>是否有环境影响评价报告或环境影响评价表</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是否有环境影响评价报告或环境影响评价表批复</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是否有环境影响评价验收</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环境影响评价报告与企业申请认证范围是否一致</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是否有排污许可证</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是否提供近期环境监测报告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sym w:font="Wingdings 2" w:char="0052"/>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环境执行标准：GB 18483-2001《饮食业油烟排放标准》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近期是否发生重大环境污染事故</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sym w:font="Wingdings 2" w:char="0052"/>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近期是否发生重大环境投诉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sym w:font="Wingdings 2" w:char="0052"/>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采购</w:t>
            </w:r>
            <w:r>
              <w:rPr>
                <w:rFonts w:hint="eastAsia" w:ascii="宋体"/>
                <w:color w:val="000000"/>
                <w:sz w:val="20"/>
                <w:szCs w:val="20"/>
                <w:lang w:eastAsia="zh-CN"/>
              </w:rPr>
              <w:t>—</w:t>
            </w:r>
            <w:r>
              <w:rPr>
                <w:rFonts w:hint="eastAsia" w:ascii="宋体"/>
                <w:color w:val="000000"/>
                <w:sz w:val="20"/>
                <w:szCs w:val="20"/>
              </w:rPr>
              <w:t>进料检验</w:t>
            </w:r>
            <w:r>
              <w:rPr>
                <w:rFonts w:hint="eastAsia" w:ascii="宋体"/>
                <w:color w:val="000000"/>
                <w:sz w:val="20"/>
                <w:szCs w:val="20"/>
                <w:lang w:eastAsia="zh-CN"/>
              </w:rPr>
              <w:t>—</w:t>
            </w:r>
            <w:r>
              <w:rPr>
                <w:rFonts w:hint="eastAsia" w:ascii="宋体"/>
                <w:color w:val="000000"/>
                <w:sz w:val="20"/>
                <w:szCs w:val="20"/>
              </w:rPr>
              <w:t>原材料清洗</w:t>
            </w:r>
            <w:r>
              <w:rPr>
                <w:rFonts w:hint="eastAsia" w:ascii="宋体"/>
                <w:color w:val="000000"/>
                <w:sz w:val="20"/>
                <w:szCs w:val="20"/>
                <w:lang w:eastAsia="zh-CN"/>
              </w:rPr>
              <w:t>—</w:t>
            </w:r>
            <w:r>
              <w:rPr>
                <w:rFonts w:hint="eastAsia" w:ascii="宋体"/>
                <w:color w:val="000000"/>
                <w:sz w:val="20"/>
                <w:szCs w:val="20"/>
              </w:rPr>
              <w:t>切配</w:t>
            </w:r>
            <w:r>
              <w:rPr>
                <w:rFonts w:hint="eastAsia" w:ascii="宋体"/>
                <w:color w:val="000000"/>
                <w:sz w:val="20"/>
                <w:szCs w:val="20"/>
                <w:lang w:eastAsia="zh-CN"/>
              </w:rPr>
              <w:t>—</w:t>
            </w:r>
            <w:r>
              <w:rPr>
                <w:rFonts w:hint="eastAsia" w:ascii="宋体"/>
                <w:color w:val="000000"/>
                <w:sz w:val="20"/>
                <w:szCs w:val="20"/>
              </w:rPr>
              <w:t>烹饪</w:t>
            </w:r>
            <w:r>
              <w:rPr>
                <w:rFonts w:hint="eastAsia" w:ascii="宋体"/>
                <w:color w:val="000000"/>
                <w:sz w:val="20"/>
                <w:szCs w:val="20"/>
                <w:lang w:eastAsia="zh-CN"/>
              </w:rPr>
              <w:t>—</w:t>
            </w:r>
            <w:r>
              <w:rPr>
                <w:rFonts w:hint="eastAsia" w:ascii="宋体"/>
                <w:color w:val="000000"/>
                <w:sz w:val="20"/>
                <w:szCs w:val="20"/>
              </w:rPr>
              <w:t>留样</w:t>
            </w:r>
            <w:r>
              <w:rPr>
                <w:rFonts w:hint="eastAsia" w:ascii="宋体"/>
                <w:color w:val="000000"/>
                <w:sz w:val="20"/>
                <w:szCs w:val="20"/>
                <w:lang w:eastAsia="zh-CN"/>
              </w:rPr>
              <w:t>—</w:t>
            </w:r>
            <w:r>
              <w:rPr>
                <w:rFonts w:hint="eastAsia" w:ascii="宋体"/>
                <w:color w:val="000000"/>
                <w:sz w:val="20"/>
                <w:szCs w:val="20"/>
              </w:rPr>
              <w:t>分配</w:t>
            </w:r>
            <w:r>
              <w:rPr>
                <w:rFonts w:hint="eastAsia" w:ascii="宋体"/>
                <w:color w:val="000000"/>
                <w:sz w:val="20"/>
                <w:szCs w:val="20"/>
                <w:lang w:eastAsia="zh-CN"/>
              </w:rPr>
              <w:t>—</w:t>
            </w:r>
            <w:r>
              <w:rPr>
                <w:rFonts w:hint="eastAsia" w:ascii="宋体"/>
                <w:color w:val="000000"/>
                <w:sz w:val="20"/>
                <w:szCs w:val="20"/>
              </w:rPr>
              <w:t>餐具消毒</w:t>
            </w:r>
            <w:r>
              <w:rPr>
                <w:rFonts w:hint="eastAsia" w:ascii="宋体"/>
                <w:color w:val="000000"/>
                <w:sz w:val="20"/>
                <w:szCs w:val="20"/>
                <w:lang w:eastAsia="zh-CN"/>
              </w:rPr>
              <w:t>—</w:t>
            </w:r>
            <w:r>
              <w:rPr>
                <w:rFonts w:hint="eastAsia" w:ascii="宋体"/>
                <w:color w:val="000000"/>
                <w:sz w:val="20"/>
                <w:szCs w:val="20"/>
              </w:rPr>
              <w:t>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color w:val="000000"/>
                <w:sz w:val="20"/>
                <w:szCs w:val="20"/>
              </w:rPr>
              <w:t>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针对关键过程建立的控制文件有：生产和服务管理控制程序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color w:val="000000"/>
                <w:sz w:val="20"/>
                <w:szCs w:val="20"/>
              </w:rPr>
              <w:t>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主要设备：电磁单头大锅炉、厨房油烟净化一体机、切菜机、四门冷柜、消毒柜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监视和测量设备（请简述主要监视和测量设备）：食品安全检测仪、农残检测仪</w:t>
            </w:r>
            <w:r>
              <w:rPr>
                <w:rFonts w:hint="eastAsia" w:ascii="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rPr>
              <w:t>潜在火灾</w:t>
            </w:r>
            <w:r>
              <w:rPr>
                <w:rFonts w:hint="eastAsia"/>
                <w:lang w:eastAsia="zh-CN"/>
              </w:rPr>
              <w:t>、</w:t>
            </w:r>
            <w:r>
              <w:rPr>
                <w:rFonts w:hint="eastAsia"/>
              </w:rPr>
              <w:t>能源消耗</w:t>
            </w:r>
            <w:r>
              <w:rPr>
                <w:rFonts w:hint="eastAsia"/>
                <w:lang w:eastAsia="zh-CN"/>
              </w:rPr>
              <w:t>、</w:t>
            </w:r>
            <w:r>
              <w:rPr>
                <w:rFonts w:hint="eastAsia"/>
              </w:rPr>
              <w:t>固废排放</w:t>
            </w:r>
            <w:r>
              <w:rPr>
                <w:rFonts w:hint="eastAsia"/>
                <w:lang w:eastAsia="zh-CN"/>
              </w:rPr>
              <w:t>、</w:t>
            </w:r>
            <w:r>
              <w:rPr>
                <w:rFonts w:hint="eastAsia"/>
              </w:rPr>
              <w:t>污水排放</w:t>
            </w:r>
            <w:r>
              <w:rPr>
                <w:rFonts w:hint="eastAsia"/>
                <w:lang w:eastAsia="zh-CN"/>
              </w:rPr>
              <w:t>、</w:t>
            </w:r>
            <w:r>
              <w:rPr>
                <w:rFonts w:hint="eastAsia"/>
              </w:rPr>
              <w:t>油烟排放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针对重要环境因素建立了运行控制程序：环境因素和危险源识别评价与控制程序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应急预案有：火灾应急预案</w:t>
            </w:r>
            <w:r>
              <w:rPr>
                <w:rFonts w:hint="eastAsia" w:ascii="宋体"/>
                <w:color w:val="000000"/>
                <w:sz w:val="20"/>
                <w:szCs w:val="20"/>
                <w:lang w:eastAsia="zh-CN"/>
              </w:rPr>
              <w:t>、触电事故应急预案、食物中毒应急预案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30</w:t>
            </w:r>
            <w:r>
              <w:rPr>
                <w:rFonts w:hint="eastAsia" w:ascii="宋体"/>
                <w:color w:val="000000"/>
                <w:sz w:val="20"/>
                <w:szCs w:val="20"/>
              </w:rPr>
              <w:t>人，其中管理人员：</w:t>
            </w:r>
            <w:r>
              <w:rPr>
                <w:rFonts w:hint="eastAsia" w:ascii="宋体"/>
                <w:color w:val="000000"/>
                <w:sz w:val="20"/>
                <w:szCs w:val="20"/>
                <w:lang w:val="en-US" w:eastAsia="zh-CN"/>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物流部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餐饮服务提供</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360" w:lineRule="auto"/>
              <w:ind w:firstLine="420" w:firstLineChars="200"/>
              <w:rPr>
                <w:rFonts w:ascii="宋体"/>
                <w:b/>
                <w:color w:val="000000"/>
                <w:sz w:val="20"/>
                <w:szCs w:val="20"/>
              </w:rPr>
            </w:pPr>
            <w:r>
              <w:rPr>
                <w:rFonts w:hint="eastAsia"/>
                <w:lang w:val="en-US" w:eastAsia="zh-CN"/>
              </w:rPr>
              <w:t>保留了内审计划，2021年4月3-4日，对各部门进行内审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360" w:lineRule="auto"/>
              <w:ind w:firstLine="420" w:firstLineChars="200"/>
              <w:rPr>
                <w:rFonts w:ascii="宋体" w:hAnsi="宋体"/>
                <w:b/>
                <w:color w:val="000000"/>
                <w:sz w:val="20"/>
                <w:szCs w:val="20"/>
              </w:rPr>
            </w:pPr>
            <w:r>
              <w:rPr>
                <w:rFonts w:hint="eastAsia"/>
                <w:lang w:val="en-US" w:eastAsia="zh-CN"/>
              </w:rPr>
              <w:t>内审覆盖了管理体系范围内的活动及标准的要求；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ind w:firstLine="420" w:firstLineChars="200"/>
              <w:rPr>
                <w:rFonts w:ascii="宋体"/>
                <w:b/>
                <w:color w:val="000000"/>
                <w:sz w:val="20"/>
                <w:szCs w:val="20"/>
              </w:rPr>
            </w:pPr>
            <w:r>
              <w:rPr>
                <w:rFonts w:hint="eastAsia"/>
                <w:lang w:val="en-US" w:eastAsia="zh-CN"/>
              </w:rPr>
              <w:t>体系运行基本良好，运行达到一定的效果，基本符合标准的要求，但仍存在不足，各部门应举一反三，对类似问题予以整改。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ind w:firstLine="420" w:firstLineChars="200"/>
              <w:rPr>
                <w:rFonts w:hint="default" w:ascii="宋体"/>
                <w:b/>
                <w:color w:val="000000"/>
                <w:sz w:val="20"/>
                <w:szCs w:val="20"/>
                <w:lang w:val="en-US"/>
              </w:rPr>
            </w:pPr>
            <w:r>
              <w:rPr>
                <w:rFonts w:hint="eastAsia"/>
                <w:lang w:val="en-US" w:eastAsia="zh-CN"/>
              </w:rPr>
              <w:t>保留管理评审计划，2021年4月15日开展管理评审。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360" w:lineRule="auto"/>
              <w:ind w:firstLine="420" w:firstLineChars="200"/>
              <w:rPr>
                <w:rFonts w:ascii="宋体"/>
                <w:b/>
                <w:color w:val="000000"/>
                <w:sz w:val="20"/>
                <w:szCs w:val="20"/>
              </w:rPr>
            </w:pPr>
            <w:r>
              <w:rPr>
                <w:rFonts w:hint="eastAsia"/>
                <w:lang w:val="en-US" w:eastAsia="zh-CN"/>
              </w:rPr>
              <w:t>管理评审输入充分；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360" w:lineRule="auto"/>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360" w:lineRule="auto"/>
              <w:ind w:firstLine="420" w:firstLineChars="200"/>
              <w:rPr>
                <w:rFonts w:hint="eastAsia"/>
                <w:lang w:val="en-US" w:eastAsia="zh-CN"/>
              </w:rPr>
            </w:pPr>
            <w:r>
              <w:rPr>
                <w:rFonts w:hint="eastAsia"/>
                <w:lang w:val="en-US" w:eastAsia="zh-CN"/>
              </w:rPr>
              <w:t>管理评审结论：体系建立和运行是充分的、适宜的、有效的。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改进措施要求：加强供应商质量控制。</w:t>
            </w:r>
          </w:p>
          <w:p>
            <w:pPr>
              <w:spacing w:line="360" w:lineRule="auto"/>
              <w:ind w:firstLine="420" w:firstLineChars="200"/>
              <w:rPr>
                <w:rFonts w:ascii="宋体"/>
                <w:b/>
                <w:color w:val="000000"/>
                <w:sz w:val="20"/>
                <w:szCs w:val="20"/>
              </w:rPr>
            </w:pPr>
            <w:r>
              <w:rPr>
                <w:rFonts w:hint="eastAsia" w:ascii="Times New Roman" w:hAnsi="Times New Roman" w:eastAsia="宋体" w:cs="Times New Roman"/>
                <w:szCs w:val="22"/>
                <w:lang w:val="en-US" w:eastAsia="zh-CN"/>
              </w:rPr>
              <w:t>保留有“管理评审改进措施计划”。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p>
    <w:p>
      <w:pPr>
        <w:spacing w:before="156" w:beforeLines="50" w:after="62" w:afterLines="20" w:line="360" w:lineRule="exact"/>
        <w:ind w:firstLine="241" w:firstLineChars="100"/>
        <w:rPr>
          <w:rFonts w:ascii="宋体"/>
          <w:b/>
          <w:bCs/>
          <w:color w:val="000000"/>
          <w:sz w:val="26"/>
          <w:szCs w:val="26"/>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1739265</wp:posOffset>
            </wp:positionH>
            <wp:positionV relativeFrom="paragraph">
              <wp:posOffset>287020</wp:posOffset>
            </wp:positionV>
            <wp:extent cx="794385" cy="478790"/>
            <wp:effectExtent l="0" t="0" r="5715" b="1651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94385" cy="4787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eastAsia="宋体"/>
          <w:b/>
          <w:color w:val="000000"/>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eastAsia="宋体"/>
          <w:b/>
          <w:color w:val="000000"/>
          <w:lang w:eastAsia="zh-CN"/>
        </w:rPr>
        <w:drawing>
          <wp:anchor distT="0" distB="0" distL="114300" distR="114300" simplePos="0" relativeHeight="251664384" behindDoc="0" locked="0" layoutInCell="1" allowOverlap="1">
            <wp:simplePos x="0" y="0"/>
            <wp:positionH relativeFrom="column">
              <wp:posOffset>3056255</wp:posOffset>
            </wp:positionH>
            <wp:positionV relativeFrom="paragraph">
              <wp:posOffset>13970</wp:posOffset>
            </wp:positionV>
            <wp:extent cx="691515" cy="424815"/>
            <wp:effectExtent l="0" t="0" r="13335" b="13335"/>
            <wp:wrapNone/>
            <wp:docPr id="6" name="图片 6"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文波"/>
                    <pic:cNvPicPr>
                      <a:picLocks noChangeAspect="1"/>
                    </pic:cNvPicPr>
                  </pic:nvPicPr>
                  <pic:blipFill>
                    <a:blip r:embed="rId7"/>
                    <a:stretch>
                      <a:fillRect/>
                    </a:stretch>
                  </pic:blipFill>
                  <pic:spPr>
                    <a:xfrm>
                      <a:off x="0" y="0"/>
                      <a:ext cx="691515" cy="424815"/>
                    </a:xfrm>
                    <a:prstGeom prst="rect">
                      <a:avLst/>
                    </a:prstGeom>
                  </pic:spPr>
                </pic:pic>
              </a:graphicData>
            </a:graphic>
          </wp:anchor>
        </w:drawing>
      </w:r>
      <w:r>
        <w:rPr>
          <w:rFonts w:hint="eastAsia" w:ascii="宋体"/>
          <w:b/>
          <w:sz w:val="18"/>
          <w:szCs w:val="18"/>
        </w:rPr>
        <w:drawing>
          <wp:anchor distT="0" distB="0" distL="114300" distR="114300" simplePos="0" relativeHeight="251663360" behindDoc="0" locked="0" layoutInCell="1" allowOverlap="1">
            <wp:simplePos x="0" y="0"/>
            <wp:positionH relativeFrom="column">
              <wp:posOffset>1869440</wp:posOffset>
            </wp:positionH>
            <wp:positionV relativeFrom="paragraph">
              <wp:posOffset>62230</wp:posOffset>
            </wp:positionV>
            <wp:extent cx="876300" cy="492125"/>
            <wp:effectExtent l="0" t="0" r="0" b="3175"/>
            <wp:wrapNone/>
            <wp:docPr id="5" name="图片 5" descr="刘秋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刘秋秋"/>
                    <pic:cNvPicPr>
                      <a:picLocks noChangeAspect="1"/>
                    </pic:cNvPicPr>
                  </pic:nvPicPr>
                  <pic:blipFill>
                    <a:blip r:embed="rId8">
                      <a:clrChange>
                        <a:clrFrom>
                          <a:srgbClr val="BFA992">
                            <a:alpha val="100000"/>
                          </a:srgbClr>
                        </a:clrFrom>
                        <a:clrTo>
                          <a:srgbClr val="BFA992">
                            <a:alpha val="100000"/>
                            <a:alpha val="0"/>
                          </a:srgbClr>
                        </a:clrTo>
                      </a:clrChange>
                      <a:lum bright="-12000" contrast="72000"/>
                    </a:blip>
                    <a:stretch>
                      <a:fillRect/>
                    </a:stretch>
                  </pic:blipFill>
                  <pic:spPr>
                    <a:xfrm>
                      <a:off x="0" y="0"/>
                      <a:ext cx="876300" cy="49212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2021.6.14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hAns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b/>
          <w:sz w:val="21"/>
        </w:rPr>
        <w:t>江西港滋源餐饮管理有限公司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w:t>
            </w:r>
          </w:p>
        </w:tc>
        <w:tc>
          <w:tcPr>
            <w:tcW w:w="5681" w:type="dxa"/>
            <w:vAlign w:val="center"/>
          </w:tcPr>
          <w:p>
            <w:pPr>
              <w:pStyle w:val="5"/>
              <w:pBdr>
                <w:bottom w:val="none" w:color="auto" w:sz="0" w:space="0"/>
              </w:pBdr>
              <w:tabs>
                <w:tab w:val="center" w:pos="5737"/>
                <w:tab w:val="clear" w:pos="4153"/>
              </w:tabs>
              <w:jc w:val="center"/>
              <w:rPr>
                <w:rFonts w:hint="eastAsia" w:eastAsia="宋体"/>
                <w:color w:val="000000"/>
                <w:sz w:val="24"/>
                <w:szCs w:val="24"/>
                <w:lang w:val="en-US" w:eastAsia="zh-CN"/>
              </w:rPr>
            </w:pPr>
            <w:r>
              <w:rPr>
                <w:rFonts w:hint="eastAsia" w:ascii="宋体"/>
                <w:color w:val="000000"/>
                <w:sz w:val="24"/>
                <w:szCs w:val="24"/>
                <w:lang w:val="en-US" w:eastAsia="zh-CN"/>
              </w:rPr>
              <w:t>/</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570865</wp:posOffset>
                  </wp:positionH>
                  <wp:positionV relativeFrom="paragraph">
                    <wp:posOffset>53975</wp:posOffset>
                  </wp:positionV>
                  <wp:extent cx="794385" cy="478790"/>
                  <wp:effectExtent l="0" t="0" r="5715" b="16510"/>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94385" cy="47879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360" w:lineRule="auto"/>
              <w:rPr>
                <w:rFonts w:hint="eastAsia"/>
                <w:b/>
                <w:color w:val="000000"/>
                <w:sz w:val="22"/>
                <w:szCs w:val="22"/>
              </w:rPr>
            </w:pPr>
          </w:p>
          <w:p>
            <w:pPr>
              <w:spacing w:line="360" w:lineRule="auto"/>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ascii="宋体" w:hAnsi="宋体"/>
                <w:b/>
                <w:kern w:val="0"/>
                <w:sz w:val="24"/>
              </w:rPr>
              <w:drawing>
                <wp:anchor distT="0" distB="0" distL="114300" distR="114300" simplePos="0" relativeHeight="251666432" behindDoc="0" locked="0" layoutInCell="1" allowOverlap="1">
                  <wp:simplePos x="0" y="0"/>
                  <wp:positionH relativeFrom="column">
                    <wp:posOffset>536575</wp:posOffset>
                  </wp:positionH>
                  <wp:positionV relativeFrom="paragraph">
                    <wp:posOffset>126365</wp:posOffset>
                  </wp:positionV>
                  <wp:extent cx="794385" cy="478790"/>
                  <wp:effectExtent l="0" t="0" r="5715" b="16510"/>
                  <wp:wrapNone/>
                  <wp:docPr id="7" name="图片 7"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94385" cy="478790"/>
                          </a:xfrm>
                          <a:prstGeom prst="rect">
                            <a:avLst/>
                          </a:prstGeom>
                          <a:noFill/>
                          <a:ln>
                            <a:noFill/>
                          </a:ln>
                        </pic:spPr>
                      </pic:pic>
                    </a:graphicData>
                  </a:graphic>
                </wp:anchor>
              </w:drawing>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965654"/>
    <w:rsid w:val="0E3E2286"/>
    <w:rsid w:val="3C3D4ED9"/>
    <w:rsid w:val="48040265"/>
    <w:rsid w:val="4FAC3F02"/>
    <w:rsid w:val="75530CDD"/>
    <w:rsid w:val="7C432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2021-06-17T06:42:58Z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