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proofErr w:type="gramStart"/>
      <w:r w:rsidR="009963BE">
        <w:rPr>
          <w:rFonts w:hint="eastAsia"/>
          <w:color w:val="000000"/>
          <w:szCs w:val="21"/>
        </w:rPr>
        <w:t>山东泽铭金属制品</w:t>
      </w:r>
      <w:proofErr w:type="gramEnd"/>
      <w:r w:rsidR="009963BE">
        <w:rPr>
          <w:rFonts w:hint="eastAsia"/>
          <w:color w:val="000000"/>
          <w:szCs w:val="21"/>
        </w:rPr>
        <w:t>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 管理层、</w:t>
      </w:r>
      <w:r w:rsidR="00D36007">
        <w:rPr>
          <w:rFonts w:ascii="宋体" w:hAnsi="宋体" w:hint="eastAsia"/>
        </w:rPr>
        <w:t>行政部</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935511">
        <w:rPr>
          <w:rFonts w:ascii="宋体" w:hAnsi="宋体" w:hint="eastAsia"/>
        </w:rPr>
        <w:t>冷春宇</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440C6F">
        <w:rPr>
          <w:rFonts w:ascii="宋体" w:hAnsi="宋体" w:hint="eastAsia"/>
        </w:rPr>
        <w:t>6</w:t>
      </w:r>
      <w:r>
        <w:rPr>
          <w:rFonts w:ascii="宋体" w:hAnsi="宋体" w:hint="eastAsia"/>
        </w:rPr>
        <w:t>月</w:t>
      </w:r>
      <w:r w:rsidR="00440C6F">
        <w:rPr>
          <w:rFonts w:ascii="宋体" w:hAnsi="宋体" w:hint="eastAsia"/>
        </w:rPr>
        <w:t>1</w:t>
      </w:r>
      <w:r w:rsidR="009963BE">
        <w:rPr>
          <w:rFonts w:ascii="宋体" w:hAnsi="宋体" w:hint="eastAsia"/>
        </w:rPr>
        <w:t>5</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D36007">
              <w:rPr>
                <w:szCs w:val="21"/>
              </w:rPr>
              <w:t>敖明</w:t>
            </w:r>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D36007">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bookmarkStart w:id="1" w:name="联系人"/>
            <w:r w:rsidR="00D36007">
              <w:rPr>
                <w:szCs w:val="21"/>
              </w:rPr>
              <w:t>敖明</w:t>
            </w:r>
            <w:bookmarkEnd w:id="1"/>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D36007">
            <w:pPr>
              <w:adjustRightInd w:val="0"/>
              <w:spacing w:line="280" w:lineRule="exact"/>
              <w:ind w:firstLineChars="200" w:firstLine="420"/>
              <w:jc w:val="left"/>
              <w:rPr>
                <w:rFonts w:ascii="宋体"/>
                <w:szCs w:val="21"/>
                <w:u w:val="single"/>
              </w:rPr>
            </w:pPr>
            <w:r>
              <w:rPr>
                <w:rFonts w:ascii="宋体" w:hint="eastAsia"/>
                <w:szCs w:val="21"/>
                <w:u w:val="single"/>
              </w:rPr>
              <w:t>行政部</w:t>
            </w:r>
            <w:r w:rsidR="0019618A">
              <w:rPr>
                <w:rFonts w:ascii="宋体" w:hint="eastAsia"/>
                <w:szCs w:val="21"/>
                <w:u w:val="single"/>
              </w:rPr>
              <w:t>、</w:t>
            </w:r>
            <w:r>
              <w:rPr>
                <w:rFonts w:ascii="宋体" w:hint="eastAsia"/>
                <w:szCs w:val="21"/>
                <w:u w:val="single"/>
              </w:rPr>
              <w:t>销售部</w:t>
            </w:r>
            <w:r w:rsidR="0019618A">
              <w:rPr>
                <w:rFonts w:ascii="宋体" w:hint="eastAsia"/>
                <w:szCs w:val="21"/>
                <w:u w:val="single"/>
              </w:rPr>
              <w:t>、</w:t>
            </w:r>
            <w:r>
              <w:rPr>
                <w:rFonts w:ascii="宋体" w:hint="eastAsia"/>
                <w:szCs w:val="21"/>
                <w:u w:val="single"/>
              </w:rPr>
              <w:t>采购部</w:t>
            </w:r>
            <w:r w:rsidR="0019618A">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hint="eastAsia"/>
              </w:rPr>
            </w:pPr>
          </w:p>
          <w:p w:rsidR="002552A4" w:rsidRDefault="002552A4">
            <w:pPr>
              <w:adjustRightInd w:val="0"/>
              <w:spacing w:line="280" w:lineRule="exact"/>
              <w:jc w:val="left"/>
              <w:rPr>
                <w:rFonts w:ascii="宋体" w:hAnsi="宋体"/>
              </w:rPr>
            </w:pPr>
            <w:r>
              <w:rPr>
                <w:rFonts w:ascii="宋体" w:hAnsi="宋体" w:hint="eastAsia"/>
              </w:rPr>
              <w:t>经营地址表述不准确，已变更。</w:t>
            </w:r>
            <w:bookmarkStart w:id="2" w:name="_GoBack"/>
            <w:bookmarkEnd w:id="2"/>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D36007" w:rsidP="00D36007">
            <w:pPr>
              <w:adjustRightInd w:val="0"/>
              <w:spacing w:line="280" w:lineRule="exact"/>
              <w:ind w:firstLineChars="200" w:firstLine="420"/>
              <w:jc w:val="left"/>
              <w:rPr>
                <w:rFonts w:ascii="宋体"/>
                <w:szCs w:val="21"/>
                <w:u w:val="single"/>
              </w:rPr>
            </w:pPr>
            <w:r>
              <w:rPr>
                <w:rFonts w:ascii="宋体" w:hint="eastAsia"/>
                <w:szCs w:val="21"/>
                <w:u w:val="single"/>
              </w:rPr>
              <w:t>办公室</w:t>
            </w:r>
            <w:r w:rsidR="00B402F3">
              <w:rPr>
                <w:rFonts w:ascii="宋体" w:hint="eastAsia"/>
                <w:szCs w:val="21"/>
                <w:u w:val="single"/>
              </w:rPr>
              <w:t>、</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bookmarkStart w:id="3" w:name="生产地址"/>
            <w:r w:rsidR="00952F3A">
              <w:rPr>
                <w:rFonts w:hint="eastAsia"/>
              </w:rPr>
              <w:t>山东省菏泽市牡丹区国花大道</w:t>
            </w:r>
            <w:r w:rsidR="00952F3A">
              <w:rPr>
                <w:rFonts w:hint="eastAsia"/>
              </w:rPr>
              <w:t>10</w:t>
            </w:r>
            <w:r w:rsidR="00952F3A">
              <w:t>66</w:t>
            </w:r>
            <w:r w:rsidR="00952F3A">
              <w:rPr>
                <w:rFonts w:hint="eastAsia"/>
              </w:rPr>
              <w:t>号</w:t>
            </w:r>
            <w:bookmarkEnd w:id="3"/>
            <w:r w:rsidR="00B402F3">
              <w:rPr>
                <w:rFonts w:ascii="宋体" w:hAnsi="宋体" w:hint="eastAsia"/>
                <w:szCs w:val="21"/>
                <w:u w:val="single"/>
              </w:rPr>
              <w:t>的</w:t>
            </w:r>
            <w:proofErr w:type="gramStart"/>
            <w:r w:rsidR="001A0816">
              <w:rPr>
                <w:rFonts w:hint="eastAsia"/>
                <w:color w:val="000000"/>
                <w:szCs w:val="21"/>
              </w:rPr>
              <w:t>山东泽铭金属制品</w:t>
            </w:r>
            <w:proofErr w:type="gramEnd"/>
            <w:r w:rsidR="00440C6F">
              <w:rPr>
                <w:rFonts w:hint="eastAsia"/>
                <w:color w:val="000000"/>
                <w:szCs w:val="21"/>
              </w:rPr>
              <w:t>有限公司</w:t>
            </w:r>
            <w:r w:rsidR="00B402F3">
              <w:rPr>
                <w:rFonts w:hint="eastAsia"/>
                <w:szCs w:val="21"/>
              </w:rPr>
              <w:t>的</w:t>
            </w:r>
            <w:r>
              <w:rPr>
                <w:rFonts w:ascii="宋体" w:hAnsi="宋体"/>
                <w:szCs w:val="21"/>
                <w:u w:val="single"/>
              </w:rPr>
              <w:t xml:space="preserve"> </w:t>
            </w:r>
          </w:p>
          <w:p w:rsidR="00440C6F" w:rsidRPr="00CA303E" w:rsidRDefault="00440C6F" w:rsidP="00440C6F">
            <w:pPr>
              <w:rPr>
                <w:color w:val="000000"/>
                <w:szCs w:val="21"/>
              </w:rPr>
            </w:pPr>
            <w:bookmarkStart w:id="4" w:name="审核范围"/>
            <w:r w:rsidRPr="00CA303E">
              <w:rPr>
                <w:rFonts w:ascii="宋体" w:hAnsi="宋体" w:hint="eastAsia"/>
                <w:szCs w:val="21"/>
              </w:rPr>
              <w:t>Q：</w:t>
            </w:r>
            <w:r w:rsidR="001A0816">
              <w:rPr>
                <w:rFonts w:ascii="宋体" w:hAnsi="宋体" w:hint="eastAsia"/>
                <w:szCs w:val="21"/>
              </w:rPr>
              <w:t>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w:t>
            </w:r>
            <w:r w:rsidRPr="00CA303E">
              <w:rPr>
                <w:rFonts w:ascii="宋体" w:hAnsi="宋体" w:hint="eastAsia"/>
                <w:szCs w:val="21"/>
              </w:rPr>
              <w:t>销售</w:t>
            </w:r>
          </w:p>
          <w:p w:rsidR="00440C6F" w:rsidRPr="00CA303E" w:rsidRDefault="00440C6F" w:rsidP="00440C6F">
            <w:pPr>
              <w:rPr>
                <w:rFonts w:ascii="宋体" w:hAnsi="宋体"/>
                <w:szCs w:val="21"/>
              </w:rPr>
            </w:pPr>
            <w:r w:rsidRPr="00CA303E">
              <w:rPr>
                <w:rFonts w:ascii="宋体" w:hAnsi="宋体" w:hint="eastAsia"/>
                <w:szCs w:val="21"/>
              </w:rPr>
              <w:t>E：</w:t>
            </w:r>
            <w:r w:rsidR="001A0816">
              <w:rPr>
                <w:rFonts w:ascii="宋体" w:hAnsi="宋体" w:hint="eastAsia"/>
                <w:szCs w:val="21"/>
              </w:rPr>
              <w:t>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w:t>
            </w:r>
            <w:r w:rsidRPr="00CA303E">
              <w:rPr>
                <w:rFonts w:ascii="宋体" w:hAnsi="宋体" w:hint="eastAsia"/>
                <w:szCs w:val="21"/>
              </w:rPr>
              <w:t>销售所涉及场所的相关环境管理活动</w:t>
            </w:r>
          </w:p>
          <w:p w:rsidR="00DC46BA" w:rsidRDefault="00440C6F" w:rsidP="00440C6F">
            <w:pPr>
              <w:spacing w:line="0" w:lineRule="atLeast"/>
              <w:jc w:val="left"/>
              <w:rPr>
                <w:rFonts w:ascii="宋体" w:hAnsi="宋体"/>
                <w:szCs w:val="21"/>
                <w:u w:val="single"/>
              </w:rPr>
            </w:pPr>
            <w:r w:rsidRPr="00CA303E">
              <w:rPr>
                <w:rFonts w:ascii="宋体" w:hAnsi="宋体" w:hint="eastAsia"/>
                <w:szCs w:val="21"/>
              </w:rPr>
              <w:t>O：</w:t>
            </w:r>
            <w:r w:rsidR="001A0816">
              <w:rPr>
                <w:rFonts w:ascii="宋体" w:hAnsi="宋体" w:hint="eastAsia"/>
                <w:szCs w:val="21"/>
              </w:rPr>
              <w:t>智能型密集架、智能型电动密集架、智能书架、手动密集架、无轨密集架、书架、期刊架、报架、博物馆珍藏架、文物柜架、文件柜、防磁柜、智能寄存柜、智能枪(弹)柜、智能枪弹一体柜、枪(弹)柜、保险箱(柜)、 金库门、智能库房(门)、爆炸危险品库房、爆炸危险品保险柜(箱)、货架、智能药品柜、药架、中药柜、仪器柜、公寓床、阅览桌(椅)、电脑桌、专用架体、架柜、档案装具、智能控制器、智能物证(卷宗)柜、存放架、办公桌、家具类不锈钢设备、办公家具、金属家具类教育设备</w:t>
            </w:r>
            <w:r w:rsidRPr="00CA303E">
              <w:rPr>
                <w:rFonts w:ascii="宋体" w:hAnsi="宋体" w:hint="eastAsia"/>
                <w:szCs w:val="21"/>
              </w:rPr>
              <w:t>销售所涉及场所的相关职业健康安全管理活动</w:t>
            </w:r>
            <w:bookmarkEnd w:id="4"/>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935511">
              <w:rPr>
                <w:rFonts w:ascii="宋体" w:hAnsi="宋体" w:hint="eastAsia"/>
                <w:u w:val="single"/>
              </w:rPr>
              <w:t>20</w:t>
            </w:r>
            <w:r>
              <w:rPr>
                <w:rFonts w:ascii="宋体" w:hAnsi="宋体" w:hint="eastAsia"/>
                <w:u w:val="single"/>
              </w:rPr>
              <w:t>年</w:t>
            </w:r>
            <w:r w:rsidR="00D36007">
              <w:rPr>
                <w:rFonts w:ascii="宋体" w:hAnsi="宋体" w:hint="eastAsia"/>
                <w:u w:val="single"/>
              </w:rPr>
              <w:t>12</w:t>
            </w:r>
            <w:r>
              <w:rPr>
                <w:rFonts w:ascii="宋体" w:hAnsi="宋体" w:hint="eastAsia"/>
                <w:u w:val="single"/>
              </w:rPr>
              <w:t>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935511">
              <w:rPr>
                <w:rFonts w:ascii="宋体" w:hAnsi="宋体" w:hint="eastAsia"/>
                <w:szCs w:val="22"/>
              </w:rPr>
              <w:t>2</w:t>
            </w:r>
            <w:r w:rsidR="00D36007">
              <w:rPr>
                <w:rFonts w:ascii="宋体" w:hAnsi="宋体" w:hint="eastAsia"/>
                <w:szCs w:val="22"/>
              </w:rPr>
              <w:t>1</w:t>
            </w:r>
            <w:r>
              <w:rPr>
                <w:rFonts w:ascii="宋体" w:hAnsi="宋体" w:hint="eastAsia"/>
                <w:szCs w:val="22"/>
              </w:rPr>
              <w:t>年</w:t>
            </w:r>
            <w:r w:rsidR="00D36007">
              <w:rPr>
                <w:rFonts w:ascii="宋体" w:hAnsi="宋体" w:hint="eastAsia"/>
                <w:szCs w:val="22"/>
              </w:rPr>
              <w:t>1</w:t>
            </w:r>
            <w:r>
              <w:rPr>
                <w:rFonts w:ascii="宋体" w:hAnsi="宋体" w:hint="eastAsia"/>
                <w:szCs w:val="22"/>
              </w:rPr>
              <w:t>月</w:t>
            </w:r>
            <w:r w:rsidR="00D36007">
              <w:rPr>
                <w:rFonts w:ascii="宋体" w:hAnsi="宋体" w:hint="eastAsia"/>
                <w:szCs w:val="22"/>
              </w:rPr>
              <w:t>5</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个，环境和职业健康与安全目标</w:t>
            </w:r>
            <w:r w:rsidR="00D36007">
              <w:rPr>
                <w:rFonts w:ascii="宋体" w:hAnsi="宋体" w:hint="eastAsia"/>
                <w:szCs w:val="21"/>
                <w:u w:val="single"/>
              </w:rPr>
              <w:t>3</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w:t>
            </w:r>
            <w:r w:rsidR="00440C6F">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D36007">
              <w:rPr>
                <w:rFonts w:ascii="宋体" w:hAnsi="宋体" w:hint="eastAsia"/>
                <w:u w:val="single"/>
              </w:rPr>
              <w:t>4</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36007">
              <w:rPr>
                <w:rFonts w:ascii="宋体" w:hAnsi="宋体" w:hint="eastAsia"/>
                <w:u w:val="single"/>
              </w:rPr>
              <w:t>30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D36007">
              <w:rPr>
                <w:rFonts w:ascii="宋体" w:hAnsi="宋体" w:hint="eastAsia"/>
                <w:u w:val="single"/>
              </w:rPr>
              <w:t>30</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rsidP="00D36007">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D36007">
              <w:rPr>
                <w:rFonts w:ascii="宋体" w:hAnsi="宋体" w:hint="eastAsia"/>
                <w:u w:val="single"/>
              </w:rPr>
              <w:t xml:space="preserve"> </w:t>
            </w:r>
            <w:r>
              <w:rPr>
                <w:rFonts w:ascii="宋体" w:hAnsi="宋体" w:hint="eastAsia"/>
                <w:u w:val="single"/>
              </w:rPr>
              <w:t xml:space="preserve">　　</w:t>
            </w:r>
          </w:p>
        </w:tc>
        <w:tc>
          <w:tcPr>
            <w:tcW w:w="1400" w:type="dxa"/>
          </w:tcPr>
          <w:p w:rsidR="00DC46BA" w:rsidRDefault="00D36007">
            <w:pPr>
              <w:adjustRightInd w:val="0"/>
              <w:spacing w:line="360" w:lineRule="auto"/>
              <w:jc w:val="left"/>
            </w:pPr>
            <w:r>
              <w:rPr>
                <w:rFonts w:hint="eastAsia"/>
              </w:rPr>
              <w:t xml:space="preserve"> </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440C6F">
              <w:rPr>
                <w:rFonts w:ascii="宋体" w:hAnsi="宋体" w:hint="eastAsia"/>
                <w:u w:val="single"/>
              </w:rPr>
              <w:t>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D36007">
              <w:rPr>
                <w:rFonts w:ascii="宋体" w:hAnsi="宋体" w:hint="eastAsia"/>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36007">
              <w:rPr>
                <w:rFonts w:ascii="宋体" w:hAnsi="宋体" w:hint="eastAsia"/>
                <w:u w:val="single"/>
              </w:rPr>
              <w:t>12</w:t>
            </w:r>
            <w:r>
              <w:rPr>
                <w:rFonts w:ascii="宋体" w:hAnsi="宋体" w:hint="eastAsia"/>
                <w:u w:val="single"/>
              </w:rPr>
              <w:t xml:space="preserve">　</w:t>
            </w:r>
            <w:r>
              <w:rPr>
                <w:rFonts w:ascii="宋体" w:hAnsi="宋体" w:hint="eastAsia"/>
              </w:rPr>
              <w:t>日实施，由最高管理者：</w:t>
            </w:r>
            <w:r w:rsidR="00D36007">
              <w:rPr>
                <w:rFonts w:hint="eastAsia"/>
                <w:szCs w:val="21"/>
              </w:rPr>
              <w:t>敖明</w:t>
            </w:r>
            <w:r w:rsidR="00D36007">
              <w:rPr>
                <w:rFonts w:hint="eastAsia"/>
                <w:szCs w:val="21"/>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rsidP="00D36007">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D36007">
              <w:rPr>
                <w:rFonts w:ascii="宋体" w:hAnsi="宋体" w:hint="eastAsia"/>
                <w:u w:val="single"/>
              </w:rPr>
              <w:t xml:space="preserve"> </w:t>
            </w:r>
          </w:p>
        </w:tc>
        <w:tc>
          <w:tcPr>
            <w:tcW w:w="1400" w:type="dxa"/>
          </w:tcPr>
          <w:p w:rsidR="00DC46BA" w:rsidRDefault="00D36007">
            <w:pPr>
              <w:adjustRightInd w:val="0"/>
              <w:spacing w:line="360" w:lineRule="auto"/>
              <w:jc w:val="left"/>
            </w:pPr>
            <w:r>
              <w:rPr>
                <w:rFonts w:hint="eastAsia"/>
              </w:rPr>
              <w:t xml:space="preserve"> </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B5" w:rsidRDefault="00272FB5">
      <w:r>
        <w:separator/>
      </w:r>
    </w:p>
  </w:endnote>
  <w:endnote w:type="continuationSeparator" w:id="0">
    <w:p w:rsidR="00272FB5" w:rsidRDefault="0027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2552A4">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552A4">
              <w:rPr>
                <w:b/>
                <w:noProof/>
              </w:rPr>
              <w:t>6</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B5" w:rsidRDefault="00272FB5">
      <w:r>
        <w:separator/>
      </w:r>
    </w:p>
  </w:footnote>
  <w:footnote w:type="continuationSeparator" w:id="0">
    <w:p w:rsidR="00272FB5" w:rsidRDefault="0027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272FB5">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BBE"/>
    <w:rsid w:val="00017559"/>
    <w:rsid w:val="00021967"/>
    <w:rsid w:val="0003373A"/>
    <w:rsid w:val="00074C0E"/>
    <w:rsid w:val="0009511B"/>
    <w:rsid w:val="000B6248"/>
    <w:rsid w:val="000C3ED3"/>
    <w:rsid w:val="00100928"/>
    <w:rsid w:val="00105A91"/>
    <w:rsid w:val="0016434A"/>
    <w:rsid w:val="00165349"/>
    <w:rsid w:val="0017552D"/>
    <w:rsid w:val="00180E1D"/>
    <w:rsid w:val="0019618A"/>
    <w:rsid w:val="001A0816"/>
    <w:rsid w:val="001A2D7F"/>
    <w:rsid w:val="001A7F36"/>
    <w:rsid w:val="001B046E"/>
    <w:rsid w:val="001D4C22"/>
    <w:rsid w:val="002024C3"/>
    <w:rsid w:val="002074BA"/>
    <w:rsid w:val="0021001F"/>
    <w:rsid w:val="002552A4"/>
    <w:rsid w:val="00272FB5"/>
    <w:rsid w:val="002A61EC"/>
    <w:rsid w:val="002B6A4E"/>
    <w:rsid w:val="002C056C"/>
    <w:rsid w:val="002C7C42"/>
    <w:rsid w:val="002F73A2"/>
    <w:rsid w:val="00303E40"/>
    <w:rsid w:val="00333C3F"/>
    <w:rsid w:val="00337922"/>
    <w:rsid w:val="00340867"/>
    <w:rsid w:val="00380837"/>
    <w:rsid w:val="003944AC"/>
    <w:rsid w:val="003C32F3"/>
    <w:rsid w:val="003D2C33"/>
    <w:rsid w:val="003E3F0E"/>
    <w:rsid w:val="003E5F08"/>
    <w:rsid w:val="00410914"/>
    <w:rsid w:val="00415094"/>
    <w:rsid w:val="00434083"/>
    <w:rsid w:val="0043459A"/>
    <w:rsid w:val="00440C6F"/>
    <w:rsid w:val="00440E2E"/>
    <w:rsid w:val="00451A33"/>
    <w:rsid w:val="0046123C"/>
    <w:rsid w:val="004C560F"/>
    <w:rsid w:val="004D0780"/>
    <w:rsid w:val="004E2167"/>
    <w:rsid w:val="004E396C"/>
    <w:rsid w:val="00503853"/>
    <w:rsid w:val="00535804"/>
    <w:rsid w:val="00536930"/>
    <w:rsid w:val="00542D54"/>
    <w:rsid w:val="005502BE"/>
    <w:rsid w:val="00564E53"/>
    <w:rsid w:val="005803D3"/>
    <w:rsid w:val="005A4EA8"/>
    <w:rsid w:val="005E60A4"/>
    <w:rsid w:val="006166D3"/>
    <w:rsid w:val="006336DC"/>
    <w:rsid w:val="00644FE2"/>
    <w:rsid w:val="006522FC"/>
    <w:rsid w:val="00664B84"/>
    <w:rsid w:val="00676124"/>
    <w:rsid w:val="0067640C"/>
    <w:rsid w:val="006A2397"/>
    <w:rsid w:val="006C013F"/>
    <w:rsid w:val="006C6EA2"/>
    <w:rsid w:val="006E678B"/>
    <w:rsid w:val="006F2C05"/>
    <w:rsid w:val="00720D57"/>
    <w:rsid w:val="007241D7"/>
    <w:rsid w:val="00730EDB"/>
    <w:rsid w:val="00731100"/>
    <w:rsid w:val="00732E96"/>
    <w:rsid w:val="0074378E"/>
    <w:rsid w:val="00760AAC"/>
    <w:rsid w:val="00762393"/>
    <w:rsid w:val="007658D0"/>
    <w:rsid w:val="007757F3"/>
    <w:rsid w:val="00776F3F"/>
    <w:rsid w:val="00777A1C"/>
    <w:rsid w:val="007B7AFA"/>
    <w:rsid w:val="007C67EB"/>
    <w:rsid w:val="007E6AEB"/>
    <w:rsid w:val="007F6C81"/>
    <w:rsid w:val="00804843"/>
    <w:rsid w:val="00806119"/>
    <w:rsid w:val="00824194"/>
    <w:rsid w:val="00824DCF"/>
    <w:rsid w:val="00843950"/>
    <w:rsid w:val="00862297"/>
    <w:rsid w:val="00871C15"/>
    <w:rsid w:val="008973EE"/>
    <w:rsid w:val="008B0E17"/>
    <w:rsid w:val="008C7D6A"/>
    <w:rsid w:val="008E438A"/>
    <w:rsid w:val="0093286E"/>
    <w:rsid w:val="00935511"/>
    <w:rsid w:val="00952F3A"/>
    <w:rsid w:val="00963B80"/>
    <w:rsid w:val="009649A4"/>
    <w:rsid w:val="00971600"/>
    <w:rsid w:val="00977BD1"/>
    <w:rsid w:val="0098311E"/>
    <w:rsid w:val="00987069"/>
    <w:rsid w:val="009963BE"/>
    <w:rsid w:val="009972E0"/>
    <w:rsid w:val="009973B4"/>
    <w:rsid w:val="009B305B"/>
    <w:rsid w:val="009C4740"/>
    <w:rsid w:val="009F7EED"/>
    <w:rsid w:val="00A165E5"/>
    <w:rsid w:val="00A25018"/>
    <w:rsid w:val="00A36241"/>
    <w:rsid w:val="00A911E2"/>
    <w:rsid w:val="00AE6F13"/>
    <w:rsid w:val="00AF0AAB"/>
    <w:rsid w:val="00B258C1"/>
    <w:rsid w:val="00B402F3"/>
    <w:rsid w:val="00BE40B7"/>
    <w:rsid w:val="00BF597E"/>
    <w:rsid w:val="00C51A36"/>
    <w:rsid w:val="00C55228"/>
    <w:rsid w:val="00C8266A"/>
    <w:rsid w:val="00CD6EF1"/>
    <w:rsid w:val="00CE315A"/>
    <w:rsid w:val="00CF27BA"/>
    <w:rsid w:val="00CF5E3B"/>
    <w:rsid w:val="00D04B22"/>
    <w:rsid w:val="00D06F59"/>
    <w:rsid w:val="00D22989"/>
    <w:rsid w:val="00D31DB6"/>
    <w:rsid w:val="00D36007"/>
    <w:rsid w:val="00D416AC"/>
    <w:rsid w:val="00D8388C"/>
    <w:rsid w:val="00DA6B59"/>
    <w:rsid w:val="00DC46BA"/>
    <w:rsid w:val="00DC5ACC"/>
    <w:rsid w:val="00DE090D"/>
    <w:rsid w:val="00DE147C"/>
    <w:rsid w:val="00DF5B95"/>
    <w:rsid w:val="00E33346"/>
    <w:rsid w:val="00EB0164"/>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84</cp:revision>
  <cp:lastPrinted>2019-06-14T02:57:00Z</cp:lastPrinted>
  <dcterms:created xsi:type="dcterms:W3CDTF">2015-06-17T12:51:00Z</dcterms:created>
  <dcterms:modified xsi:type="dcterms:W3CDTF">2021-09-29T07:12:00Z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