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Style w:val="TableNormal"/>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0"/>
        <w:gridCol w:w="960"/>
        <w:gridCol w:w="10004"/>
        <w:gridCol w:w="1585"/>
      </w:tblGrid>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鄄城现代实验仪器有限公司</w:t>
            </w:r>
            <w:bookmarkEnd w:id="0"/>
            <w:r>
              <w:rPr>
                <w:rFonts w:hint="eastAsia"/>
                <w:color w:val="000000"/>
                <w:sz w:val="24"/>
                <w:szCs w:val="24"/>
              </w:rPr>
              <w:t xml:space="preserve">                 陪同人员：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判定</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审核时间：</w:t>
            </w:r>
            <w:bookmarkStart w:id="2" w:name="审核日期"/>
            <w:r>
              <w:rPr>
                <w:color w:val="000000"/>
              </w:rPr>
              <w:t>2021年10月12日 下午至2021年10月12日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bookmarkStart w:id="3" w:name="_GoBack"/>
            <w:bookmarkEnd w:id="3"/>
            <w:r>
              <w:rPr>
                <w:rFonts w:hint="eastAsia"/>
                <w:color w:val="000000"/>
                <w:szCs w:val="21"/>
                <w:lang w:eastAsia="zh-CN"/>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ascii="Wingdings" w:hAnsi="Wingdings" w:hint="eastAsia"/>
                <w:color w:val="000000"/>
              </w:rPr>
              <w:t>¨</w:t>
            </w:r>
            <w:r>
              <w:rPr>
                <w:rFonts w:hint="eastAsia"/>
                <w:color w:val="000000"/>
              </w:rPr>
              <w:t xml:space="preserve">与组织总部在同一管理体系下运行     </w:t>
            </w:r>
          </w:p>
          <w:p>
            <w:pPr>
              <w:rPr>
                <w:color w:val="000000"/>
              </w:rPr>
            </w:pPr>
            <w:r>
              <w:rPr>
                <w:rFonts w:ascii="Wingdings" w:hAnsi="Wingdings" w:hint="eastAsia"/>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mso-height-relative:page;mso-width-relative:page;position:absolute;width:50.6pt;z-index:251668480" coordsize="21600,21600" filled="t" fillcolor="white" stroked="t">
                  <v:stroke joinstyle="miter"/>
                  <v:textbox>
                    <w:txbxContent>
                      <w:p/>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mso-height-relative:page;mso-width-relative:page;position:absolute;width:30pt;z-index:251669504" coordsize="21600,21600" filled="f" stroked="t">
                  <v:stroke joinstyle="round" endarrow="block"/>
                </v:shape>
              </w:pict>
            </w:r>
            <w:r>
              <w:rPr>
                <w:color w:val="000000"/>
              </w:rPr>
              <w:pict>
                <v:shape id="文本框 104" o:spid="_x0000_s1027" type="#_x0000_t202" style="height:18.4pt;margin-left:85.65pt;margin-top:14.5pt;mso-height-relative:page;mso-width-relative:page;position:absolute;width:50.6pt;z-index:251666432" coordsize="21600,21600" filled="t" fillcolor="white" stroked="t">
                  <v:stroke joinstyle="miter"/>
                  <v:textbox>
                    <w:txbxContent>
                      <w:p/>
                    </w:txbxContent>
                  </v:textbox>
                </v:shape>
              </w:pict>
            </w:r>
            <w:r>
              <w:rPr>
                <w:color w:val="000000"/>
              </w:rPr>
              <w:pict>
                <v:shape id="自选图形 105" o:spid="_x0000_s1028" type="#_x0000_t32" style="height:0;margin-left:137.5pt;margin-top:23.05pt;mso-height-relative:page;mso-width-relative:page;position:absolute;width:30pt;z-index:251667456" coordsize="21600,21600" filled="f" stroked="t">
                  <v:stroke joinstyle="round" endarrow="block"/>
                </v:shape>
              </w:pict>
            </w:r>
            <w:r>
              <w:rPr>
                <w:color w:val="000000"/>
              </w:rPr>
              <w:pict>
                <v:shape id="文本框 106" o:spid="_x0000_s1029" type="#_x0000_t202" style="height:18.4pt;margin-left:418.6pt;margin-top:15.8pt;mso-height-relative:page;mso-width-relative:page;position:absolute;width:50.6pt;z-index:251662336" coordsize="21600,21600" filled="t" fillcolor="white" stroked="t">
                  <v:stroke joinstyle="miter"/>
                  <v:textbox>
                    <w:txbxContent>
                      <w:p/>
                    </w:txbxContent>
                  </v:textbox>
                </v:shape>
              </w:pict>
            </w:r>
            <w:r>
              <w:rPr>
                <w:color w:val="000000"/>
              </w:rPr>
              <w:pict>
                <v:shape id="自选图形 107" o:spid="_x0000_s1030" type="#_x0000_t32" style="height:0;margin-left:470.45pt;margin-top:24.35pt;mso-height-relative:page;mso-width-relative:page;position:absolute;width:30pt;z-index:251663360" coordsize="21600,21600" filled="f" stroked="t">
                  <v:stroke joinstyle="round" endarrow="block"/>
                </v:shape>
              </w:pict>
            </w:r>
            <w:r>
              <w:rPr>
                <w:color w:val="000000"/>
              </w:rPr>
              <w:pict>
                <v:shape id="文本框 108" o:spid="_x0000_s1031" type="#_x0000_t202" style="height:18.4pt;margin-left:335pt;margin-top:15.3pt;mso-height-relative:page;mso-width-relative:page;position:absolute;width:50.6pt;z-index:251660288" coordsize="21600,21600" filled="t" fillcolor="white" stroked="t">
                  <v:stroke joinstyle="miter"/>
                  <v:textbox>
                    <w:txbxContent>
                      <w:p/>
                    </w:txbxContent>
                  </v:textbox>
                </v:shape>
              </w:pict>
            </w:r>
            <w:r>
              <w:rPr>
                <w:color w:val="000000"/>
              </w:rPr>
              <w:pict>
                <v:shape id="自选图形 109" o:spid="_x0000_s1032" type="#_x0000_t32" style="height:0;margin-left:386.85pt;margin-top:23.85pt;mso-height-relative:page;mso-width-relative:page;position:absolute;width:30pt;z-index:251661312" coordsize="21600,21600" filled="f" stroked="t">
                  <v:stroke joinstyle="round" endarrow="block"/>
                </v:shape>
              </w:pict>
            </w:r>
            <w:r>
              <w:rPr>
                <w:color w:val="000000"/>
                <w:szCs w:val="18"/>
              </w:rPr>
              <w:pict>
                <v:shape id="自选图形 110" o:spid="_x0000_s1033" type="#_x0000_t32" style="height:0;margin-left:302.5pt;margin-top:23.95pt;mso-height-relative:page;mso-width-relative:page;position:absolute;width:30pt;z-index:251659264" coordsize="21600,21600" filled="f" stroked="t">
                  <v:stroke joinstyle="round" endarrow="block"/>
                </v:shape>
              </w:pict>
            </w:r>
            <w:r>
              <w:rPr>
                <w:color w:val="000000"/>
                <w:szCs w:val="18"/>
              </w:rPr>
              <w:pict>
                <v:shape id="文本框 111" o:spid="_x0000_s1034" type="#_x0000_t202" style="height:18.4pt;margin-left:250.65pt;margin-top:15.4pt;mso-height-relative:page;mso-width-relative:page;position:absolute;width:50.6pt;z-index:251658240" coordsize="21600,21600" filled="t" fillcolor="white" stroked="t">
                  <v:stroke joinstyle="miter"/>
                  <v:textbox>
                    <w:txbxContent>
                      <w:p/>
                    </w:txbxContent>
                  </v:textbox>
                </v:shape>
              </w:pict>
            </w:r>
            <w:r>
              <w:rPr>
                <w:rFonts w:hint="eastAsia"/>
                <w:color w:val="000000"/>
              </w:rPr>
              <w:t>生产/服务流程图：</w:t>
            </w:r>
          </w:p>
          <w:p>
            <w:pPr>
              <w:rPr>
                <w:color w:val="000000"/>
                <w:szCs w:val="18"/>
              </w:rPr>
            </w:pPr>
            <w:r>
              <w:rPr>
                <w:color w:val="000000"/>
              </w:rPr>
              <w:pict>
                <v:shape id="文本框 112" o:spid="_x0000_s1035" type="#_x0000_t202" style="height:18.4pt;margin-left:5.9pt;margin-top:0.1pt;mso-height-relative:page;mso-width-relative:page;position:absolute;width:50.6pt;z-index:251664384" coordsize="21600,21600" filled="t" fillcolor="white" stroked="t">
                  <v:stroke joinstyle="miter"/>
                  <v:textbox>
                    <w:txbxContent>
                      <w:p/>
                    </w:txbxContent>
                  </v:textbox>
                </v:shape>
              </w:pict>
            </w:r>
            <w:r>
              <w:rPr>
                <w:color w:val="000000"/>
              </w:rPr>
              <w:pict>
                <v:shape id="自选图形 113" o:spid="_x0000_s1036" type="#_x0000_t32" style="height:0;margin-left:57.75pt;margin-top:8.65pt;mso-height-relative:page;mso-width-relative:page;position:absolute;width:30pt;z-index:251665408" coordsize="21600,21600" filled="f" stroked="t">
                  <v:stroke joinstyle="round" endarrow="block"/>
                </v:shape>
              </w:pict>
            </w:r>
          </w:p>
          <w:p>
            <w:pPr>
              <w:rPr>
                <w:color w:val="000000"/>
                <w:szCs w:val="18"/>
              </w:rPr>
            </w:pPr>
          </w:p>
          <w:p>
            <w:pPr>
              <w:rPr>
                <w:color w:val="000000"/>
                <w:szCs w:val="18"/>
              </w:rPr>
            </w:pPr>
            <w:r>
              <w:rPr>
                <w:color w:val="000000"/>
              </w:rPr>
              <w:pict>
                <v:shape id="自选图形 114" o:spid="_x0000_s1037" type="#_x0000_t32" style="height:0;margin-left:55.6pt;margin-top:12pt;mso-height-relative:page;mso-width-relative:page;position:absolute;width:30pt;z-index:251677696" coordsize="21600,21600" filled="f" stroked="t">
                  <v:stroke joinstyle="round" endarrow="block"/>
                </v:shape>
              </w:pict>
            </w:r>
            <w:r>
              <w:rPr>
                <w:color w:val="000000"/>
              </w:rPr>
              <w:pict>
                <v:shape id="文本框 115" o:spid="_x0000_s1038" type="#_x0000_t202" style="height:18.4pt;margin-left:3.75pt;margin-top:3.45pt;mso-height-relative:page;mso-width-relative:page;position:absolute;width:50.6pt;z-index:251676672" coordsize="21600,21600" filled="t" fillcolor="white" stroked="t">
                  <v:stroke joinstyle="miter"/>
                  <v:textbox>
                    <w:txbxContent>
                      <w:p/>
                    </w:txbxContent>
                  </v:textbox>
                </v:shape>
              </w:pict>
            </w:r>
            <w:r>
              <w:rPr>
                <w:color w:val="000000"/>
              </w:rPr>
              <w:pict>
                <v:shape id="自选图形 116" o:spid="_x0000_s1039" type="#_x0000_t32" style="height:0;margin-left:304.15pt;margin-top:12.5pt;mso-height-relative:page;mso-width-relative:page;position:absolute;width:30pt;z-index:251675648" coordsize="21600,21600" filled="f" stroked="t">
                  <v:stroke joinstyle="round" endarrow="block"/>
                </v:shape>
              </w:pict>
            </w:r>
            <w:r>
              <w:rPr>
                <w:color w:val="000000"/>
              </w:rPr>
              <w:pict>
                <v:shape id="文本框 117" o:spid="_x0000_s1040" type="#_x0000_t202" style="height:18.4pt;margin-left:252.3pt;margin-top:3.95pt;mso-height-relative:page;mso-width-relative:page;position:absolute;width:50.6pt;z-index:251674624" coordsize="21600,21600" filled="t" fillcolor="white" stroked="t">
                  <v:stroke joinstyle="miter"/>
                  <v:textbox>
                    <w:txbxContent>
                      <w:p/>
                    </w:txbxContent>
                  </v:textbox>
                </v:shape>
              </w:pict>
            </w:r>
            <w:r>
              <w:rPr>
                <w:color w:val="000000"/>
              </w:rPr>
              <w:pict>
                <v:shape id="自选图形 118" o:spid="_x0000_s1041" type="#_x0000_t32" style="height:0;margin-left:220.55pt;margin-top:12pt;mso-height-relative:page;mso-width-relative:page;position:absolute;width:30pt;z-index:251673600" coordsize="21600,21600" filled="f" stroked="t">
                  <v:stroke joinstyle="round" endarrow="block"/>
                </v:shape>
              </w:pict>
            </w:r>
            <w:r>
              <w:rPr>
                <w:color w:val="000000"/>
              </w:rPr>
              <w:pict>
                <v:shape id="文本框 119" o:spid="_x0000_s1042" type="#_x0000_t202" style="height:18.4pt;margin-left:168.7pt;margin-top:3.45pt;mso-height-relative:page;mso-width-relative:page;position:absolute;width:50.6pt;z-index:251672576" coordsize="21600,21600" filled="t" fillcolor="white" stroked="t">
                  <v:stroke joinstyle="miter"/>
                  <v:textbox>
                    <w:txbxContent>
                      <w:p/>
                    </w:txbxContent>
                  </v:textbox>
                </v:shape>
              </w:pict>
            </w:r>
            <w:r>
              <w:rPr>
                <w:color w:val="000000"/>
              </w:rPr>
              <w:pict>
                <v:shape id="自选图形 120" o:spid="_x0000_s1043" type="#_x0000_t32" style="height:0;margin-left:136.2pt;margin-top:12.1pt;mso-height-relative:page;mso-width-relative:page;position:absolute;width:30pt;z-index:251671552" coordsize="21600,21600" filled="f" stroked="t">
                  <v:stroke joinstyle="round" endarrow="block"/>
                </v:shape>
              </w:pict>
            </w:r>
            <w:r>
              <w:rPr>
                <w:color w:val="000000"/>
              </w:rPr>
              <w:pict>
                <v:shape id="文本框 121" o:spid="_x0000_s1044" type="#_x0000_t202" style="height:18.4pt;margin-left:84.35pt;margin-top:3.55pt;mso-height-relative:page;mso-width-relative:page;position:absolute;width:50.6pt;z-index:251670528" coordsize="21600,21600" filled="t" fillcolor="white" stroked="t">
                  <v:stroke joinstyle="miter"/>
                  <v:textbox>
                    <w:txbxContent>
                      <w:p/>
                    </w:txbxContent>
                  </v:textbox>
                </v:shape>
              </w:pic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rFonts w:ascii="宋体" w:hAnsi="宋体"/>
                <w:color w:val="000000"/>
                <w:szCs w:val="21"/>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43"/>
              <w:gridCol w:w="1387"/>
              <w:gridCol w:w="3499"/>
              <w:gridCol w:w="244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t>¨</w:t>
            </w:r>
            <w:r>
              <w:rPr>
                <w:rFonts w:hint="eastAsia"/>
                <w:color w:val="000000"/>
              </w:rPr>
              <w:t xml:space="preserve">水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PMingLiU" w:hAnsi="PMingLiU" w:cs="PMingLiU" w:hint="eastAsia"/>
                <w:color w:val="000000"/>
                <w:kern w:val="0"/>
                <w:sz w:val="24"/>
              </w:rPr>
              <w:t xml:space="preserve">  </w:t>
            </w:r>
            <w:r>
              <w:rPr>
                <w:rFonts w:ascii="Wingdings" w:hAnsi="Wingdings"/>
                <w:color w:val="000000"/>
              </w:rPr>
              <w:t>¨</w:t>
            </w:r>
            <w:r>
              <w:rPr>
                <w:rFonts w:ascii="PMingLiU" w:eastAsia="PMingLiU" w:hAnsi="PMingLiU" w:cs="PMingLiU" w:hint="eastAsia"/>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了解企业相关法规</w:t>
            </w:r>
          </w:p>
          <w:p>
            <w:pPr>
              <w:pStyle w:val="ListParagraph"/>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ListParagraph"/>
              <w:rPr>
                <w:color w:val="000000"/>
                <w:sz w:val="21"/>
                <w:szCs w:val="21"/>
              </w:rPr>
            </w:pPr>
          </w:p>
          <w:p>
            <w:pPr>
              <w:pStyle w:val="ListParagraph"/>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p>
          <w:p>
            <w:pPr>
              <w:pStyle w:val="ListParagraph"/>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ListParagraph"/>
              <w:ind w:firstLine="210" w:firstLineChars="100"/>
              <w:rPr>
                <w:color w:val="000000"/>
                <w:sz w:val="21"/>
                <w:szCs w:val="21"/>
              </w:rPr>
            </w:pPr>
          </w:p>
          <w:p>
            <w:pPr>
              <w:pStyle w:val="ListParagraph"/>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查看产品食品安全性检验的证据（报告）</w:t>
            </w:r>
          </w:p>
          <w:p>
            <w:pPr>
              <w:pStyle w:val="ListParagraph"/>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了解员工的健康（证）的情况；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r>
              <w:rPr>
                <w:rFonts w:hint="eastAsia"/>
                <w:color w:val="000000"/>
                <w:sz w:val="21"/>
                <w:szCs w:val="21"/>
                <w:u w:val="single"/>
              </w:rPr>
              <w:t xml:space="preserve">                     </w:t>
            </w:r>
          </w:p>
          <w:p>
            <w:pPr>
              <w:pStyle w:val="ListParagraph"/>
              <w:ind w:firstLine="0" w:firstLineChars="0"/>
              <w:rPr>
                <w:color w:val="000000"/>
                <w:sz w:val="21"/>
                <w:szCs w:val="21"/>
                <w:u w:val="single"/>
              </w:rPr>
            </w:pPr>
          </w:p>
          <w:p>
            <w:pPr>
              <w:pStyle w:val="ListParagraph"/>
              <w:ind w:firstLine="0" w:firstLineChars="0"/>
              <w:rPr>
                <w:color w:val="000000"/>
                <w:sz w:val="21"/>
                <w:szCs w:val="21"/>
              </w:rPr>
            </w:pPr>
            <w:r>
              <w:rPr>
                <w:rFonts w:hint="eastAsia"/>
                <w:color w:val="000000"/>
                <w:sz w:val="21"/>
                <w:szCs w:val="21"/>
              </w:rPr>
              <w:t>- 了解标识的方法</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t>¨</w:t>
            </w:r>
            <w:r>
              <w:rPr>
                <w:rFonts w:hint="eastAsia"/>
                <w:color w:val="000000"/>
                <w:sz w:val="21"/>
                <w:szCs w:val="21"/>
              </w:rPr>
              <w:t xml:space="preserve">标牌  </w:t>
            </w:r>
            <w:r>
              <w:rPr>
                <w:rFonts w:ascii="Wingdings" w:hAnsi="Wingdings"/>
                <w:color w:val="000000"/>
                <w:sz w:val="21"/>
                <w:szCs w:val="21"/>
              </w:rPr>
              <w:t>¨</w:t>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了解追溯计划和演练</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了解产品顾客投诉处理</w:t>
            </w:r>
          </w:p>
          <w:p>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了解产品召回/撤回的状况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t>¨</w:t>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t>¨</w:t>
            </w:r>
            <w:r>
              <w:rPr>
                <w:rFonts w:hint="eastAsia"/>
                <w:color w:val="000000"/>
                <w:szCs w:val="21"/>
              </w:rPr>
              <w:t>进行应急演练，说明：</w:t>
            </w:r>
            <w:r>
              <w:rPr>
                <w:rFonts w:hint="eastAsia"/>
                <w:color w:val="000000"/>
                <w:szCs w:val="21"/>
                <w:u w:val="single"/>
              </w:rPr>
              <w:t xml:space="preserve">                     </w:t>
            </w:r>
          </w:p>
          <w:p>
            <w:pPr>
              <w:ind w:firstLine="210" w:firstLineChars="100"/>
              <w:rPr>
                <w:color w:val="000000"/>
                <w:szCs w:val="21"/>
              </w:rPr>
            </w:pPr>
          </w:p>
          <w:p>
            <w:pPr>
              <w:pStyle w:val="ListParagraph"/>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t>¨</w:t>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ListParagraph"/>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Wingdings" w:hAnsi="Wingdings"/>
                <w:color w:val="000000"/>
                <w:szCs w:val="21"/>
              </w:rPr>
              <w:t>¨</w:t>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ListParagraph"/>
              <w:ind w:firstLine="0" w:firstLineChars="0"/>
              <w:rPr>
                <w:color w:val="000000"/>
                <w:sz w:val="21"/>
                <w:szCs w:val="21"/>
              </w:rPr>
            </w:pP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hint="eastAsia"/>
                <w:color w:val="000000"/>
                <w:szCs w:val="21"/>
              </w:rPr>
              <w:t xml:space="preserve">     </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pPr>
              <w:pStyle w:val="ListParagraph"/>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t>¨</w:t>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t>¨</w:t>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t>¨</w:t>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rPr>
              <w:t xml:space="preserve">  </w:t>
            </w:r>
            <w:r>
              <w:rPr>
                <w:rFonts w:ascii="Wingdings" w:hAnsi="Wingdings"/>
                <w:color w:val="000000"/>
                <w:szCs w:val="21"/>
              </w:rPr>
              <w:t>¨</w:t>
            </w:r>
            <w:r>
              <w:rPr>
                <w:color w:val="000000"/>
                <w:szCs w:val="21"/>
              </w:rPr>
              <w:t>淋浴室</w:t>
            </w:r>
            <w:r>
              <w:rPr>
                <w:rFonts w:hint="eastAsia"/>
                <w:color w:val="000000"/>
                <w:szCs w:val="21"/>
              </w:rPr>
              <w:t xml:space="preserve">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t>¨</w:t>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t>¨</w:t>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自然采光   </w:t>
            </w:r>
            <w:r>
              <w:rPr>
                <w:rFonts w:ascii="Wingdings" w:hAnsi="Wingdings"/>
                <w:color w:val="000000"/>
                <w:szCs w:val="21"/>
              </w:rPr>
              <w:t>¨</w:t>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t>¨</w:t>
            </w:r>
            <w:r>
              <w:rPr>
                <w:rFonts w:hint="eastAsia"/>
                <w:color w:val="000000"/>
                <w:szCs w:val="21"/>
              </w:rPr>
              <w:t>常温库：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冷藏库：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冷冻库：</w:t>
            </w:r>
            <w:r>
              <w:rPr>
                <w:rFonts w:hint="eastAsia"/>
                <w:color w:val="000000"/>
                <w:szCs w:val="21"/>
                <w:u w:val="single"/>
              </w:rPr>
              <w:t xml:space="preserve">       </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t>¨</w:t>
            </w:r>
            <w:r>
              <w:rPr>
                <w:rFonts w:hint="eastAsia"/>
                <w:color w:val="000000"/>
                <w:szCs w:val="21"/>
              </w:rPr>
              <w:t xml:space="preserve">防虫害（蚊蝇）   </w:t>
            </w:r>
            <w:r>
              <w:rPr>
                <w:rFonts w:ascii="Wingdings" w:hAnsi="Wingdings"/>
                <w:color w:val="000000"/>
                <w:szCs w:val="21"/>
              </w:rPr>
              <w:t>¨</w:t>
            </w:r>
            <w:r>
              <w:rPr>
                <w:rFonts w:hint="eastAsia"/>
                <w:color w:val="000000"/>
                <w:szCs w:val="21"/>
              </w:rPr>
              <w:t xml:space="preserve">防鼠    </w:t>
            </w:r>
            <w:r>
              <w:rPr>
                <w:rFonts w:ascii="Wingdings" w:hAnsi="Wingdings"/>
                <w:color w:val="000000"/>
                <w:szCs w:val="21"/>
              </w:rPr>
              <w:t>¨</w:t>
            </w:r>
            <w:r>
              <w:rPr>
                <w:rFonts w:hint="eastAsia"/>
                <w:color w:val="000000"/>
                <w:szCs w:val="21"/>
              </w:rPr>
              <w:t xml:space="preserve">消防   </w:t>
            </w:r>
            <w:r>
              <w:rPr>
                <w:rFonts w:ascii="Wingdings" w:hAnsi="Wingdings"/>
                <w:color w:val="000000"/>
                <w:szCs w:val="21"/>
              </w:rPr>
              <w:t>¨</w:t>
            </w:r>
            <w:r>
              <w:rPr>
                <w:rFonts w:hint="eastAsia"/>
                <w:color w:val="000000"/>
                <w:szCs w:val="21"/>
              </w:rPr>
              <w:t xml:space="preserve">标识   </w:t>
            </w:r>
            <w:r>
              <w:rPr>
                <w:rFonts w:ascii="Wingdings" w:hAnsi="Wingdings"/>
                <w:color w:val="000000"/>
                <w:szCs w:val="21"/>
              </w:rPr>
              <w:t>¨</w:t>
            </w:r>
            <w:r>
              <w:rPr>
                <w:rFonts w:hint="eastAsia"/>
                <w:color w:val="000000"/>
                <w:szCs w:val="21"/>
              </w:rPr>
              <w:t xml:space="preserve">隔地离墙   </w:t>
            </w:r>
            <w:r>
              <w:rPr>
                <w:rFonts w:ascii="Wingdings" w:hAnsi="Wingdings"/>
                <w:color w:val="000000"/>
                <w:szCs w:val="21"/>
              </w:rPr>
              <w:t>¨</w:t>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t>¨</w:t>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t>¨</w:t>
            </w:r>
            <w:r>
              <w:rPr>
                <w:color w:val="000000"/>
                <w:szCs w:val="21"/>
              </w:rPr>
              <w:t>温度计</w:t>
            </w:r>
            <w:r>
              <w:rPr>
                <w:rFonts w:hint="eastAsia"/>
                <w:color w:val="000000"/>
                <w:szCs w:val="21"/>
              </w:rPr>
              <w:t xml:space="preserve">  </w:t>
            </w:r>
            <w:r>
              <w:rPr>
                <w:rFonts w:ascii="Wingdings" w:hAnsi="Wingdings"/>
                <w:color w:val="000000"/>
                <w:szCs w:val="21"/>
              </w:rPr>
              <w:t>¨</w:t>
            </w:r>
            <w:r>
              <w:rPr>
                <w:color w:val="000000"/>
                <w:szCs w:val="21"/>
              </w:rPr>
              <w:t>记录仪</w:t>
            </w:r>
            <w:r>
              <w:rPr>
                <w:rFonts w:hint="eastAsia"/>
                <w:color w:val="000000"/>
                <w:szCs w:val="21"/>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hint="eastAsia"/>
                <w:color w:val="000000"/>
              </w:rPr>
              <w:t xml:space="preserve">   </w:t>
            </w:r>
            <w:r>
              <w:rPr>
                <w:rFonts w:ascii="Wingdings" w:hAnsi="Wingdings"/>
                <w:color w:val="000000"/>
              </w:rPr>
              <w:t>¨</w:t>
            </w:r>
            <w:r>
              <w:rPr>
                <w:rFonts w:hint="eastAsia"/>
                <w:color w:val="000000"/>
                <w:szCs w:val="18"/>
              </w:rPr>
              <w:t>一般用能单位</w:t>
            </w:r>
            <w:r>
              <w:rPr>
                <w:rFonts w:hint="eastAsia"/>
                <w:color w:val="000000"/>
              </w:rPr>
              <w:t xml:space="preserve">   </w:t>
            </w:r>
            <w:r>
              <w:rPr>
                <w:rFonts w:ascii="Wingdings" w:hAnsi="Wingdings"/>
                <w:color w:val="000000"/>
              </w:rPr>
              <w:t>¨</w:t>
            </w:r>
            <w:r>
              <w:rPr>
                <w:rFonts w:hint="eastAsia"/>
                <w:color w:val="000000"/>
                <w:szCs w:val="18"/>
              </w:rPr>
              <w:t xml:space="preserve">                </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rFonts w:ascii="宋体" w:hAnsi="宋体" w:cs="宋体"/>
                <w:szCs w:val="21"/>
              </w:rPr>
            </w:pPr>
            <w:r>
              <w:rPr>
                <w:rFonts w:ascii="宋体" w:hAnsi="宋体" w:cs="宋体" w:hint="eastAsia"/>
                <w:szCs w:val="21"/>
              </w:rPr>
              <w:t>能源目标指标完成情况：</w:t>
            </w:r>
          </w:p>
          <w:tbl>
            <w:tblPr>
              <w:tblStyle w:val="TableGrid"/>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06"/>
              <w:gridCol w:w="2258"/>
              <w:gridCol w:w="4524"/>
            </w:tblGrid>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能耗指标</w:t>
                  </w:r>
                </w:p>
              </w:tc>
              <w:tc>
                <w:tcPr>
                  <w:tcW w:w="2258" w:type="dxa"/>
                </w:tcPr>
                <w:p>
                  <w:pPr>
                    <w:rPr>
                      <w:rFonts w:ascii="宋体" w:hAnsi="宋体" w:cs="宋体"/>
                      <w:szCs w:val="21"/>
                    </w:rPr>
                  </w:pPr>
                  <w:r>
                    <w:rPr>
                      <w:rFonts w:ascii="宋体" w:hAnsi="宋体" w:cs="宋体" w:hint="eastAsia"/>
                      <w:szCs w:val="21"/>
                    </w:rPr>
                    <w:t>完成情况</w:t>
                  </w:r>
                </w:p>
              </w:tc>
              <w:tc>
                <w:tcPr>
                  <w:tcW w:w="4524" w:type="dxa"/>
                </w:tcPr>
                <w:p>
                  <w:pPr>
                    <w:rPr>
                      <w:rFonts w:ascii="宋体" w:hAnsi="宋体" w:cs="宋体"/>
                      <w:szCs w:val="21"/>
                    </w:rPr>
                  </w:pPr>
                  <w:r>
                    <w:rPr>
                      <w:rFonts w:hint="eastAsia"/>
                      <w:szCs w:val="21"/>
                    </w:rPr>
                    <w:t>说明</w:t>
                  </w: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国家限额指标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地方政府下达的指标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集团或上一级部门下达的指标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本单位制定的目标指标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能评的产能：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pStyle w:val="ListParagraph"/>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xml:space="preserve">- 了解组织能源评审报告的完成情况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rFonts w:ascii="Wingdings" w:hAnsi="Wingdings"/>
                <w:color w:val="000000"/>
              </w:rPr>
              <w:t>¨</w:t>
            </w:r>
            <w:r>
              <w:rPr>
                <w:rFonts w:hint="eastAsia"/>
                <w:color w:val="000000"/>
              </w:rPr>
              <w:t xml:space="preserve">电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压缩气体   </w:t>
            </w:r>
            <w:r>
              <w:rPr>
                <w:rFonts w:ascii="Wingdings" w:hAnsi="Wingdings"/>
                <w:color w:val="000000"/>
              </w:rPr>
              <w:t>¨</w:t>
            </w:r>
            <w:r>
              <w:rPr>
                <w:rFonts w:hint="eastAsia"/>
                <w:color w:val="000000"/>
              </w:rPr>
              <w:t xml:space="preserve">其他—— </w:t>
            </w:r>
          </w:p>
          <w:p>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xml:space="preserve">                 </w:t>
            </w: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ascii="Wingdings" w:hAnsi="Wingdings"/>
                <w:color w:val="000000"/>
              </w:rPr>
              <w:t>¨</w:t>
            </w:r>
            <w:r>
              <w:rPr>
                <w:rFonts w:hint="eastAsia"/>
                <w:color w:val="000000"/>
              </w:rPr>
              <w:t xml:space="preserve">新鲜水   </w:t>
            </w:r>
            <w:r>
              <w:rPr>
                <w:rFonts w:ascii="Wingdings" w:hAnsi="Wingdings"/>
                <w:color w:val="000000"/>
              </w:rPr>
              <w:t>¨</w:t>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ascii="Wingdings" w:hAnsi="Wingdings"/>
                <w:color w:val="000000"/>
                <w:szCs w:val="18"/>
              </w:rPr>
              <w:t>¨</w:t>
            </w:r>
            <w:r>
              <w:rPr>
                <w:rFonts w:hint="eastAsia"/>
                <w:color w:val="000000"/>
                <w:szCs w:val="18"/>
              </w:rPr>
              <w:t xml:space="preserve">用能单位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rFonts w:hint="eastAsia"/>
                <w:color w:val="000000"/>
                <w:szCs w:val="18"/>
              </w:rPr>
              <w:t xml:space="preserve">主要用能设备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rPr>
                <w:color w:val="000000"/>
                <w:szCs w:val="18"/>
              </w:rPr>
            </w:pPr>
            <w:r>
              <w:rPr>
                <w:rFonts w:hint="eastAsia"/>
                <w:color w:val="000000"/>
              </w:rPr>
              <w:t xml:space="preserve">  </w:t>
            </w: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hint="eastAsia"/>
                <w:color w:val="000000"/>
                <w:szCs w:val="18"/>
              </w:rPr>
              <w:t xml:space="preserve"> </w:t>
            </w:r>
            <w:r>
              <w:rPr>
                <w:rFonts w:ascii="Wingdings" w:hAnsi="Wingdings"/>
                <w:color w:val="000000"/>
              </w:rPr>
              <w:t>¨</w:t>
            </w:r>
            <w:r>
              <w:rPr>
                <w:rFonts w:ascii="宋体" w:hAnsi="宋体" w:cs="宋体" w:hint="eastAsia"/>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加热炉   </w:t>
            </w:r>
            <w:r>
              <w:rPr>
                <w:rFonts w:ascii="Wingdings" w:hAnsi="Wingdings"/>
                <w:color w:val="000000"/>
              </w:rPr>
              <w:t>¨</w:t>
            </w:r>
            <w:r>
              <w:rPr>
                <w:color w:val="000000"/>
              </w:rPr>
              <w:t>汽轮机</w:t>
            </w:r>
            <w:r>
              <w:rPr>
                <w:rFonts w:hint="eastAsia"/>
                <w:color w:val="000000"/>
              </w:rPr>
              <w:t>、</w:t>
            </w:r>
            <w:r>
              <w:rPr>
                <w:color w:val="000000"/>
              </w:rPr>
              <w:t>空压机</w:t>
            </w:r>
            <w:r>
              <w:rPr>
                <w:rFonts w:hint="eastAsia"/>
                <w:color w:val="000000"/>
              </w:rPr>
              <w:t xml:space="preserve">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hanging="210" w:leftChars="100" w:hangingChars="100"/>
              <w:jc w:val="left"/>
              <w:rPr>
                <w:color w:val="000000"/>
              </w:rPr>
            </w:pPr>
            <w:r>
              <w:rPr>
                <w:rFonts w:ascii="Wingdings" w:hAnsi="Wingdings"/>
                <w:color w:val="000000"/>
              </w:rPr>
              <w:t>¨</w:t>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热处理设备</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制冷设备   </w:t>
            </w:r>
            <w:r>
              <w:rPr>
                <w:rFonts w:ascii="Wingdings" w:hAnsi="Wingdings"/>
                <w:color w:val="000000"/>
              </w:rPr>
              <w:t>¨</w:t>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color w:val="000000"/>
              </w:rPr>
              <w:t>流量计</w:t>
            </w:r>
            <w:r>
              <w:rPr>
                <w:rFonts w:hint="eastAsia"/>
                <w:color w:val="000000"/>
              </w:rPr>
              <w:t xml:space="preserve">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电表   </w:t>
            </w:r>
            <w:r>
              <w:rPr>
                <w:rFonts w:ascii="Wingdings" w:hAnsi="Wingdings"/>
                <w:color w:val="000000"/>
              </w:rPr>
              <w:t>¨</w:t>
            </w:r>
            <w:r>
              <w:rPr>
                <w:rFonts w:hint="eastAsia"/>
                <w:color w:val="000000"/>
              </w:rPr>
              <w:t xml:space="preserve">电流表    </w:t>
            </w:r>
            <w:r>
              <w:rPr>
                <w:rFonts w:ascii="Wingdings" w:hAnsi="Wingdings"/>
                <w:color w:val="000000"/>
              </w:rPr>
              <w:t>¨</w:t>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ind w:firstLine="0" w:firstLineChars="0"/>
              <w:jc w:val="left"/>
              <w:rPr>
                <w:color w:val="000000"/>
                <w:sz w:val="21"/>
                <w:szCs w:val="21"/>
              </w:rPr>
            </w:pPr>
            <w:r>
              <w:rPr>
                <w:rFonts w:hint="eastAsia"/>
                <w:color w:val="000000"/>
                <w:sz w:val="21"/>
                <w:szCs w:val="21"/>
              </w:rPr>
              <w:t>□ 识别二阶段审核的资源配置情况</w:t>
            </w:r>
          </w:p>
          <w:p>
            <w:pPr>
              <w:pStyle w:val="ListParagraph"/>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ListParagraph"/>
              <w:ind w:firstLine="0" w:firstLineChars="0"/>
              <w:jc w:val="left"/>
              <w:rPr>
                <w:color w:val="000000"/>
                <w:sz w:val="21"/>
                <w:szCs w:val="21"/>
              </w:rPr>
            </w:pPr>
            <w:r>
              <w:rPr>
                <w:rFonts w:hint="eastAsia"/>
                <w:color w:val="000000"/>
                <w:sz w:val="21"/>
                <w:szCs w:val="21"/>
              </w:rPr>
              <w:t>□ 其他：</w:t>
            </w:r>
          </w:p>
          <w:p>
            <w:pPr>
              <w:pStyle w:val="ListParagraph"/>
              <w:ind w:firstLine="0" w:firstLineChars="0"/>
              <w:jc w:val="left"/>
              <w:rPr>
                <w:color w:val="000000"/>
                <w:sz w:val="21"/>
                <w:szCs w:val="21"/>
              </w:rPr>
            </w:pPr>
            <w:r>
              <w:rPr>
                <w:rFonts w:hint="eastAsia"/>
                <w:color w:val="000000"/>
                <w:sz w:val="21"/>
                <w:szCs w:val="21"/>
              </w:rPr>
              <w:t xml:space="preserve">              </w:t>
            </w:r>
          </w:p>
          <w:p>
            <w:pPr>
              <w:pStyle w:val="ListParagraph"/>
              <w:ind w:firstLine="0" w:firstLineChars="0"/>
              <w:jc w:val="left"/>
              <w:rPr>
                <w:color w:val="000000"/>
                <w:sz w:val="21"/>
                <w:szCs w:val="21"/>
              </w:rPr>
            </w:pPr>
            <w:r>
              <w:rPr>
                <w:rFonts w:hint="eastAsia"/>
                <w:color w:val="000000"/>
                <w:sz w:val="21"/>
                <w:szCs w:val="21"/>
              </w:rPr>
              <w:t>□ 识别二阶段审核的可行性</w:t>
            </w:r>
          </w:p>
          <w:p>
            <w:pPr>
              <w:pStyle w:val="ListParagraph"/>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ListParagraph"/>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Footer"/>
      </w:pPr>
      <w:r>
        <w:rPr>
          <w:rFonts w:hint="eastAsia"/>
        </w:rPr>
        <w:t>说明：不符合标注N</w:t>
      </w:r>
    </w:p>
    <w:sectPr>
      <w:headerReference w:type="default" r:id="rId5"/>
      <w:footerReference w:type="default" r:id="rId6"/>
      <w:pgSz w:w="16838" w:h="11906" w:orient="landscape"/>
      <w:pgMar w:top="1440" w:right="1080" w:bottom="1440" w:left="108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pPr>
              <w:pStyle w:val="Footer"/>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637.9pt;margin-top:2.6pt;mso-height-relative:page;mso-width-relative:page;position:absolute;width:85.7pt;z-index:251658240" coordsize="21600,21600" filled="t" fillcolor="white" stroked="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34"/>
    <w:qFormat/>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87</cp:revision>
  <dcterms:created xsi:type="dcterms:W3CDTF">2015-06-17T12:51:00Z</dcterms:created>
  <dcterms:modified xsi:type="dcterms:W3CDTF">2021-07-19T06:08:40Z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