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0068-2020-2021</w:t>
      </w:r>
      <w:bookmarkEnd w:id="0"/>
    </w:p>
    <w:p>
      <w:pPr>
        <w:spacing w:after="240"/>
        <w:jc w:val="center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直埋式波纹补偿器波纹外径尺寸测量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sz w:val="24"/>
              </w:rPr>
              <w:t>107</w:t>
            </w:r>
            <w:r>
              <w:rPr>
                <w:rFonts w:hint="eastAsia"/>
                <w:sz w:val="24"/>
              </w:rPr>
              <w:t>±</w:t>
            </w:r>
            <w:r>
              <w:rPr>
                <w:sz w:val="24"/>
              </w:rPr>
              <w:t>0.5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  <w:color w:val="auto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sz w:val="24"/>
              </w:rPr>
              <w:t>107mm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t>0.25mm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游标卡尺</w:t>
            </w:r>
          </w:p>
        </w:tc>
        <w:tc>
          <w:tcPr>
            <w:tcW w:w="128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0-200mm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0.02mm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t>BT/CL-01</w:t>
            </w:r>
            <w:r>
              <w:rPr>
                <w:rFonts w:hint="eastAsia"/>
              </w:rPr>
              <w:t>直埋式波纹补偿器波纹外径尺寸测量过程控制规范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向开富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直埋式波纹补偿器波纹外径尺寸测量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直埋式波纹补偿器波纹外径尺寸测量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直埋式波纹补偿器波纹外径尺寸测量过程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见《直埋式波纹补偿器波纹外径尺寸测量过程监视统计质控图》附录</w:t>
            </w:r>
            <w:r>
              <w:t xml:space="preserve">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after="240"/>
        <w:jc w:val="both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98170" cy="281940"/>
            <wp:effectExtent l="0" t="0" r="11430" b="1016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" cy="302260"/>
            <wp:effectExtent l="0" t="0" r="10160" b="2540"/>
            <wp:docPr id="85" name="图片 85" descr="d463abd62fb9c9380c6b86535b16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d463abd62fb9c9380c6b86535b16f8e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6528" t="44769" r="37872" b="43662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6E59EA"/>
    <w:rsid w:val="63AD4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2021-06-11T07:32:16Z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58D32286683D40DB8F1C7D2FE843B22E</vt:lpwstr>
  </property>
</Properties>
</file>