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b w:val="0"/>
          <w:bCs w:val="0"/>
          <w:sz w:val="21"/>
          <w:szCs w:val="21"/>
        </w:rPr>
        <w:t>0591-2021-QEO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河北隆康消防安全技术有限公司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77"/>
        <w:gridCol w:w="317"/>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85"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26"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77" w:type="dxa"/>
            <w:vAlign w:val="center"/>
          </w:tcPr>
          <w:p>
            <w:pPr>
              <w:rPr>
                <w:b/>
                <w:color w:val="000000"/>
                <w:sz w:val="20"/>
                <w:szCs w:val="20"/>
              </w:rPr>
            </w:pPr>
            <w:r>
              <w:rPr>
                <w:rFonts w:hint="eastAsia"/>
                <w:b/>
                <w:color w:val="000000"/>
                <w:sz w:val="20"/>
                <w:szCs w:val="20"/>
              </w:rPr>
              <w:t>邮箱</w:t>
            </w:r>
          </w:p>
        </w:tc>
        <w:tc>
          <w:tcPr>
            <w:tcW w:w="2496"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吉洁</w:t>
            </w:r>
          </w:p>
        </w:tc>
        <w:tc>
          <w:tcPr>
            <w:tcW w:w="851"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组长</w:t>
            </w:r>
          </w:p>
        </w:tc>
        <w:tc>
          <w:tcPr>
            <w:tcW w:w="1417"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女</w:t>
            </w:r>
          </w:p>
        </w:tc>
        <w:tc>
          <w:tcPr>
            <w:tcW w:w="3402" w:type="dxa"/>
            <w:gridSpan w:val="4"/>
            <w:vAlign w:val="center"/>
          </w:tcPr>
          <w:p>
            <w:pPr>
              <w:jc w:val="center"/>
              <w:rPr>
                <w:b w:val="0"/>
                <w:bCs w:val="0"/>
                <w:sz w:val="21"/>
                <w:szCs w:val="21"/>
              </w:rPr>
            </w:pPr>
            <w:r>
              <w:rPr>
                <w:b w:val="0"/>
                <w:bCs w:val="0"/>
                <w:sz w:val="21"/>
                <w:szCs w:val="21"/>
              </w:rPr>
              <w:t>Q:审核员</w:t>
            </w:r>
          </w:p>
          <w:p>
            <w:pPr>
              <w:jc w:val="center"/>
              <w:rPr>
                <w:b w:val="0"/>
                <w:bCs w:val="0"/>
                <w:sz w:val="21"/>
                <w:szCs w:val="21"/>
              </w:rPr>
            </w:pPr>
            <w:r>
              <w:rPr>
                <w:b w:val="0"/>
                <w:bCs w:val="0"/>
                <w:sz w:val="21"/>
                <w:szCs w:val="21"/>
              </w:rPr>
              <w:t>E:审核员</w:t>
            </w:r>
          </w:p>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O:审核员</w:t>
            </w:r>
          </w:p>
        </w:tc>
        <w:tc>
          <w:tcPr>
            <w:tcW w:w="2179" w:type="dxa"/>
            <w:gridSpan w:val="2"/>
            <w:vAlign w:val="center"/>
          </w:tcPr>
          <w:p>
            <w:pPr>
              <w:jc w:val="center"/>
              <w:rPr>
                <w:b w:val="0"/>
                <w:bCs w:val="0"/>
                <w:sz w:val="21"/>
                <w:szCs w:val="21"/>
              </w:rPr>
            </w:pPr>
            <w:r>
              <w:rPr>
                <w:b w:val="0"/>
                <w:bCs w:val="0"/>
                <w:sz w:val="21"/>
                <w:szCs w:val="21"/>
              </w:rPr>
              <w:t>Q:34.02.00,34.06.00</w:t>
            </w:r>
          </w:p>
          <w:p>
            <w:pPr>
              <w:jc w:val="center"/>
              <w:rPr>
                <w:b w:val="0"/>
                <w:bCs w:val="0"/>
                <w:sz w:val="21"/>
                <w:szCs w:val="21"/>
              </w:rPr>
            </w:pPr>
            <w:r>
              <w:rPr>
                <w:b w:val="0"/>
                <w:bCs w:val="0"/>
                <w:sz w:val="21"/>
                <w:szCs w:val="21"/>
              </w:rPr>
              <w:t>E:34.02.00,34.06.00</w:t>
            </w:r>
          </w:p>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O:34.02.00,34.06.00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71" w:type="dxa"/>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周文廷</w:t>
            </w:r>
          </w:p>
        </w:tc>
        <w:tc>
          <w:tcPr>
            <w:tcW w:w="851"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组员</w:t>
            </w:r>
          </w:p>
        </w:tc>
        <w:tc>
          <w:tcPr>
            <w:tcW w:w="1417" w:type="dxa"/>
            <w:gridSpan w:val="2"/>
            <w:vAlign w:val="center"/>
          </w:tcPr>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男</w:t>
            </w:r>
          </w:p>
        </w:tc>
        <w:tc>
          <w:tcPr>
            <w:tcW w:w="3402" w:type="dxa"/>
            <w:gridSpan w:val="4"/>
            <w:vAlign w:val="center"/>
          </w:tcPr>
          <w:p>
            <w:pPr>
              <w:jc w:val="center"/>
              <w:rPr>
                <w:b w:val="0"/>
                <w:bCs w:val="0"/>
                <w:sz w:val="21"/>
                <w:szCs w:val="21"/>
              </w:rPr>
            </w:pPr>
            <w:r>
              <w:rPr>
                <w:b w:val="0"/>
                <w:bCs w:val="0"/>
                <w:sz w:val="21"/>
                <w:szCs w:val="21"/>
              </w:rPr>
              <w:t>Q:审核员</w:t>
            </w:r>
          </w:p>
          <w:p>
            <w:pPr>
              <w:jc w:val="center"/>
              <w:rPr>
                <w:b w:val="0"/>
                <w:bCs w:val="0"/>
                <w:sz w:val="21"/>
                <w:szCs w:val="21"/>
              </w:rPr>
            </w:pPr>
            <w:r>
              <w:rPr>
                <w:b w:val="0"/>
                <w:bCs w:val="0"/>
                <w:sz w:val="21"/>
                <w:szCs w:val="21"/>
              </w:rPr>
              <w:t>E:专家</w:t>
            </w:r>
          </w:p>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rPr>
              <w:t>O:专家</w:t>
            </w:r>
          </w:p>
        </w:tc>
        <w:tc>
          <w:tcPr>
            <w:tcW w:w="2179" w:type="dxa"/>
            <w:gridSpan w:val="2"/>
            <w:vAlign w:val="center"/>
          </w:tcPr>
          <w:p>
            <w:pPr>
              <w:jc w:val="center"/>
              <w:rPr>
                <w:b w:val="0"/>
                <w:bCs w:val="0"/>
                <w:sz w:val="21"/>
                <w:szCs w:val="21"/>
              </w:rPr>
            </w:pPr>
            <w:r>
              <w:rPr>
                <w:b w:val="0"/>
                <w:bCs w:val="0"/>
                <w:sz w:val="21"/>
                <w:szCs w:val="21"/>
              </w:rPr>
              <w:t>Q:28.07.01,34.06.00</w:t>
            </w:r>
          </w:p>
          <w:p>
            <w:pPr>
              <w:jc w:val="center"/>
              <w:rPr>
                <w:b w:val="0"/>
                <w:bCs w:val="0"/>
                <w:sz w:val="21"/>
                <w:szCs w:val="21"/>
              </w:rPr>
            </w:pPr>
            <w:r>
              <w:rPr>
                <w:b w:val="0"/>
                <w:bCs w:val="0"/>
                <w:sz w:val="21"/>
                <w:szCs w:val="21"/>
              </w:rPr>
              <w:t>E:28.07.01</w:t>
            </w:r>
          </w:p>
          <w:p>
            <w:pPr>
              <w:jc w:val="center"/>
              <w:rPr>
                <w:rFonts w:ascii="Times New Roman" w:hAnsi="Times New Roman" w:eastAsia="宋体" w:cs="Times New Roman"/>
                <w:b w:val="0"/>
                <w:bCs w:val="0"/>
                <w:kern w:val="2"/>
                <w:sz w:val="21"/>
                <w:szCs w:val="21"/>
                <w:lang w:val="en-US" w:eastAsia="zh-CN" w:bidi="ar-SA"/>
              </w:rPr>
            </w:pPr>
            <w:r>
              <w:rPr>
                <w:b w:val="0"/>
                <w:bCs w:val="0"/>
                <w:sz w:val="21"/>
                <w:szCs w:val="21"/>
              </w:rPr>
              <w:t>O:28.07.01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spacing w:line="300" w:lineRule="auto"/>
        <w:ind w:firstLine="245" w:firstLineChars="100"/>
        <w:rPr>
          <w:rFonts w:hint="eastAsia" w:ascii="宋体" w:hAnsi="宋体" w:cs="Times New Roman"/>
          <w:b/>
          <w:color w:val="000000"/>
          <w:spacing w:val="-8"/>
          <w:sz w:val="26"/>
          <w:szCs w:val="26"/>
        </w:rPr>
      </w:pPr>
      <w:r>
        <w:rPr>
          <w:rFonts w:hint="eastAsia" w:ascii="宋体" w:hAnsi="宋体" w:cs="Times New Roman"/>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质量管理体系,环境管理体系,职业健康安全管理体系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cs="Times New Roman"/>
          <w:b/>
          <w:color w:val="000000"/>
          <w:spacing w:val="-8"/>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hint="eastAsia" w:ascii="宋体" w:hAnsi="宋体"/>
          <w:b/>
          <w:color w:val="000000"/>
          <w:sz w:val="20"/>
          <w:szCs w:val="20"/>
          <w:lang w:val="en-US" w:eastAsia="zh-CN"/>
        </w:rPr>
        <w:t xml:space="preserve"> </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val="en-US" w:eastAsia="zh-CN"/>
        </w:rPr>
        <w:t xml:space="preserve"> </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189"/>
        <w:gridCol w:w="1463"/>
        <w:gridCol w:w="1603"/>
        <w:gridCol w:w="70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受审核方名称</w:t>
            </w:r>
          </w:p>
        </w:tc>
        <w:tc>
          <w:tcPr>
            <w:tcW w:w="7632" w:type="dxa"/>
            <w:gridSpan w:val="5"/>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河北隆康消防安全技术有限公司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注册地址</w:t>
            </w:r>
          </w:p>
        </w:tc>
        <w:tc>
          <w:tcPr>
            <w:tcW w:w="4255" w:type="dxa"/>
            <w:gridSpan w:val="3"/>
            <w:vAlign w:val="center"/>
          </w:tcPr>
          <w:p>
            <w:pPr>
              <w:spacing w:line="280" w:lineRule="exact"/>
              <w:jc w:val="both"/>
              <w:rPr>
                <w:rFonts w:hint="eastAsia" w:ascii="宋体" w:eastAsia="宋体"/>
                <w:b w:val="0"/>
                <w:bCs/>
                <w:color w:val="000000"/>
                <w:sz w:val="20"/>
                <w:szCs w:val="20"/>
                <w:lang w:eastAsia="zh-CN"/>
              </w:rPr>
            </w:pPr>
            <w:r>
              <w:rPr>
                <w:rFonts w:hint="eastAsia"/>
                <w:lang w:eastAsia="zh-CN"/>
              </w:rPr>
              <w:t>石家庄高新区黄河大道与天山大街交口北行50米路东院内北排1号</w:t>
            </w:r>
          </w:p>
        </w:tc>
        <w:tc>
          <w:tcPr>
            <w:tcW w:w="700" w:type="dxa"/>
            <w:vMerge w:val="restart"/>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邮编</w:t>
            </w:r>
          </w:p>
        </w:tc>
        <w:tc>
          <w:tcPr>
            <w:tcW w:w="2677" w:type="dxa"/>
            <w:vAlign w:val="center"/>
          </w:tcPr>
          <w:p>
            <w:pPr>
              <w:spacing w:line="280" w:lineRule="exact"/>
              <w:jc w:val="both"/>
              <w:rPr>
                <w:rFonts w:hint="eastAsia" w:ascii="宋体" w:eastAsia="宋体"/>
                <w:b w:val="0"/>
                <w:bCs/>
                <w:color w:val="000000"/>
                <w:sz w:val="20"/>
                <w:szCs w:val="20"/>
                <w:lang w:eastAsia="zh-CN"/>
              </w:rPr>
            </w:pPr>
            <w:r>
              <w:rPr>
                <w:rFonts w:hint="eastAsia" w:ascii="宋体"/>
                <w:b w:val="0"/>
                <w:bCs/>
                <w:color w:val="000000"/>
                <w:sz w:val="20"/>
                <w:szCs w:val="20"/>
                <w:lang w:eastAsia="zh-CN"/>
              </w:rPr>
              <w:t>05</w:t>
            </w:r>
            <w:r>
              <w:rPr>
                <w:rFonts w:hint="eastAsia" w:ascii="宋体"/>
                <w:b w:val="0"/>
                <w:bCs/>
                <w:color w:val="000000"/>
                <w:sz w:val="20"/>
                <w:szCs w:val="20"/>
                <w:lang w:val="en-US" w:eastAsia="zh-CN"/>
              </w:rPr>
              <w:t>00</w:t>
            </w:r>
            <w:r>
              <w:rPr>
                <w:rFonts w:hint="eastAsia" w:ascii="宋体"/>
                <w:b w:val="0"/>
                <w:bCs/>
                <w:color w:val="000000"/>
                <w:sz w:val="20"/>
                <w:szCs w:val="20"/>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经营地址</w:t>
            </w:r>
          </w:p>
        </w:tc>
        <w:tc>
          <w:tcPr>
            <w:tcW w:w="4255" w:type="dxa"/>
            <w:gridSpan w:val="3"/>
            <w:vAlign w:val="center"/>
          </w:tcPr>
          <w:p>
            <w:pPr>
              <w:spacing w:line="280" w:lineRule="exact"/>
              <w:jc w:val="both"/>
              <w:rPr>
                <w:rFonts w:hint="eastAsia" w:ascii="宋体" w:eastAsia="宋体"/>
                <w:b w:val="0"/>
                <w:bCs/>
                <w:color w:val="000000"/>
                <w:sz w:val="20"/>
                <w:szCs w:val="20"/>
                <w:lang w:eastAsia="zh-CN"/>
              </w:rPr>
            </w:pPr>
            <w:bookmarkStart w:id="5" w:name="经营地址"/>
            <w:bookmarkEnd w:id="5"/>
            <w:r>
              <w:rPr>
                <w:rFonts w:hint="eastAsia"/>
                <w:b w:val="0"/>
                <w:bCs/>
                <w:sz w:val="21"/>
                <w:szCs w:val="21"/>
                <w:lang w:eastAsia="zh-CN"/>
              </w:rPr>
              <w:t>石家庄高新区黄河大道与天山大街交口北行50米路东院内北排1号</w:t>
            </w:r>
          </w:p>
        </w:tc>
        <w:tc>
          <w:tcPr>
            <w:tcW w:w="700" w:type="dxa"/>
            <w:vMerge w:val="continue"/>
            <w:vAlign w:val="center"/>
          </w:tcPr>
          <w:p>
            <w:pPr>
              <w:spacing w:line="280" w:lineRule="exact"/>
              <w:jc w:val="both"/>
              <w:rPr>
                <w:rFonts w:ascii="宋体"/>
                <w:b w:val="0"/>
                <w:bCs/>
                <w:color w:val="000000"/>
                <w:sz w:val="20"/>
                <w:szCs w:val="20"/>
              </w:rPr>
            </w:pPr>
          </w:p>
        </w:tc>
        <w:tc>
          <w:tcPr>
            <w:tcW w:w="2677" w:type="dxa"/>
            <w:vAlign w:val="center"/>
          </w:tcPr>
          <w:p>
            <w:pPr>
              <w:spacing w:line="280" w:lineRule="exact"/>
              <w:jc w:val="both"/>
              <w:rPr>
                <w:rFonts w:hint="eastAsia" w:ascii="宋体" w:eastAsia="宋体"/>
                <w:b w:val="0"/>
                <w:bCs/>
                <w:color w:val="000000"/>
                <w:sz w:val="20"/>
                <w:szCs w:val="20"/>
                <w:lang w:eastAsia="zh-CN"/>
              </w:rPr>
            </w:pPr>
            <w:bookmarkStart w:id="6" w:name="经营邮编"/>
            <w:bookmarkEnd w:id="6"/>
            <w:r>
              <w:rPr>
                <w:rFonts w:hint="eastAsia" w:ascii="宋体"/>
                <w:b w:val="0"/>
                <w:bCs/>
                <w:color w:val="000000"/>
                <w:sz w:val="20"/>
                <w:szCs w:val="20"/>
                <w:lang w:eastAsia="zh-CN"/>
              </w:rPr>
              <w:t>05</w:t>
            </w:r>
            <w:r>
              <w:rPr>
                <w:rFonts w:hint="eastAsia" w:ascii="宋体"/>
                <w:b w:val="0"/>
                <w:bCs/>
                <w:color w:val="000000"/>
                <w:sz w:val="20"/>
                <w:szCs w:val="20"/>
                <w:lang w:val="en-US" w:eastAsia="zh-CN"/>
              </w:rPr>
              <w:t>00</w:t>
            </w:r>
            <w:r>
              <w:rPr>
                <w:rFonts w:hint="eastAsia" w:ascii="宋体"/>
                <w:b w:val="0"/>
                <w:bCs/>
                <w:color w:val="000000"/>
                <w:sz w:val="20"/>
                <w:szCs w:val="20"/>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联系人</w:t>
            </w:r>
          </w:p>
        </w:tc>
        <w:tc>
          <w:tcPr>
            <w:tcW w:w="1189" w:type="dxa"/>
            <w:vAlign w:val="center"/>
          </w:tcPr>
          <w:p>
            <w:pPr>
              <w:spacing w:line="280" w:lineRule="exact"/>
              <w:jc w:val="both"/>
              <w:rPr>
                <w:rFonts w:ascii="宋体"/>
                <w:b w:val="0"/>
                <w:bCs/>
                <w:color w:val="000000"/>
                <w:sz w:val="20"/>
                <w:szCs w:val="20"/>
              </w:rPr>
            </w:pPr>
            <w:bookmarkStart w:id="7" w:name="联系人"/>
            <w:r>
              <w:t>冯永平</w:t>
            </w:r>
            <w:bookmarkEnd w:id="7"/>
          </w:p>
        </w:tc>
        <w:tc>
          <w:tcPr>
            <w:tcW w:w="1463" w:type="dxa"/>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电话</w:t>
            </w:r>
          </w:p>
        </w:tc>
        <w:tc>
          <w:tcPr>
            <w:tcW w:w="1603" w:type="dxa"/>
            <w:vAlign w:val="center"/>
          </w:tcPr>
          <w:p>
            <w:pPr>
              <w:spacing w:line="280" w:lineRule="exact"/>
              <w:jc w:val="both"/>
              <w:rPr>
                <w:rFonts w:ascii="宋体"/>
                <w:b w:val="0"/>
                <w:bCs/>
                <w:color w:val="000000"/>
                <w:sz w:val="20"/>
                <w:szCs w:val="20"/>
              </w:rPr>
            </w:pPr>
            <w:bookmarkStart w:id="8" w:name="联系人手机"/>
            <w:r>
              <w:t>18803110119</w:t>
            </w:r>
            <w:bookmarkEnd w:id="8"/>
          </w:p>
        </w:tc>
        <w:tc>
          <w:tcPr>
            <w:tcW w:w="700" w:type="dxa"/>
            <w:vAlign w:val="center"/>
          </w:tcPr>
          <w:p>
            <w:pPr>
              <w:spacing w:line="280" w:lineRule="exact"/>
              <w:jc w:val="both"/>
              <w:rPr>
                <w:rFonts w:ascii="宋体"/>
                <w:b w:val="0"/>
                <w:bCs/>
                <w:color w:val="000000"/>
                <w:sz w:val="20"/>
                <w:szCs w:val="20"/>
              </w:rPr>
            </w:pPr>
            <w:r>
              <w:rPr>
                <w:rFonts w:hint="eastAsia" w:ascii="宋体" w:hAnsi="宋体"/>
                <w:b w:val="0"/>
                <w:bCs/>
                <w:color w:val="000000"/>
                <w:sz w:val="20"/>
                <w:szCs w:val="20"/>
              </w:rPr>
              <w:t>传真</w:t>
            </w:r>
          </w:p>
        </w:tc>
        <w:tc>
          <w:tcPr>
            <w:tcW w:w="2677" w:type="dxa"/>
            <w:vAlign w:val="center"/>
          </w:tcPr>
          <w:p>
            <w:pPr>
              <w:spacing w:line="280" w:lineRule="exact"/>
              <w:jc w:val="both"/>
              <w:rPr>
                <w:rFonts w:hint="eastAsia" w:ascii="宋体" w:eastAsia="宋体"/>
                <w:b w:val="0"/>
                <w:bCs/>
                <w:color w:val="000000"/>
                <w:sz w:val="20"/>
                <w:szCs w:val="20"/>
                <w:lang w:eastAsia="zh-CN"/>
              </w:rPr>
            </w:pPr>
            <w:bookmarkStart w:id="9" w:name="联系人传真Add1"/>
            <w:bookmarkEnd w:id="9"/>
            <w:r>
              <w:rPr>
                <w:rFonts w:hint="eastAsia"/>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5" w:type="dxa"/>
            <w:vAlign w:val="center"/>
          </w:tcPr>
          <w:p>
            <w:pPr>
              <w:jc w:val="center"/>
              <w:rPr>
                <w:rFonts w:ascii="宋体"/>
                <w:b/>
                <w:bCs w:val="0"/>
                <w:color w:val="000000"/>
                <w:sz w:val="20"/>
                <w:szCs w:val="20"/>
              </w:rPr>
            </w:pPr>
            <w:r>
              <w:rPr>
                <w:rFonts w:hint="eastAsia" w:ascii="宋体" w:hAnsi="宋体"/>
                <w:b/>
                <w:bCs w:val="0"/>
                <w:color w:val="000000"/>
                <w:sz w:val="20"/>
                <w:szCs w:val="20"/>
              </w:rPr>
              <w:t>法人代表</w:t>
            </w:r>
          </w:p>
        </w:tc>
        <w:tc>
          <w:tcPr>
            <w:tcW w:w="1189" w:type="dxa"/>
            <w:vAlign w:val="center"/>
          </w:tcPr>
          <w:p>
            <w:pPr>
              <w:jc w:val="both"/>
              <w:rPr>
                <w:rFonts w:ascii="宋体"/>
                <w:b w:val="0"/>
                <w:bCs/>
                <w:color w:val="000000"/>
                <w:sz w:val="20"/>
                <w:szCs w:val="20"/>
              </w:rPr>
            </w:pPr>
            <w:r>
              <w:t>冯永平</w:t>
            </w:r>
          </w:p>
        </w:tc>
        <w:tc>
          <w:tcPr>
            <w:tcW w:w="1463" w:type="dxa"/>
            <w:vAlign w:val="center"/>
          </w:tcPr>
          <w:p>
            <w:pPr>
              <w:jc w:val="both"/>
              <w:rPr>
                <w:rFonts w:ascii="宋体"/>
                <w:b w:val="0"/>
                <w:bCs/>
                <w:color w:val="000000"/>
                <w:sz w:val="20"/>
                <w:szCs w:val="20"/>
              </w:rPr>
            </w:pPr>
            <w:r>
              <w:rPr>
                <w:rFonts w:hint="eastAsia" w:ascii="宋体" w:hAnsi="宋体"/>
                <w:b w:val="0"/>
                <w:bCs/>
                <w:color w:val="000000"/>
                <w:sz w:val="20"/>
                <w:szCs w:val="20"/>
              </w:rPr>
              <w:t>管理者代表</w:t>
            </w:r>
          </w:p>
        </w:tc>
        <w:tc>
          <w:tcPr>
            <w:tcW w:w="1603" w:type="dxa"/>
            <w:vAlign w:val="center"/>
          </w:tcPr>
          <w:p>
            <w:pPr>
              <w:jc w:val="both"/>
              <w:rPr>
                <w:rFonts w:hint="eastAsia" w:ascii="宋体" w:eastAsia="宋体"/>
                <w:b w:val="0"/>
                <w:bCs/>
                <w:color w:val="000000"/>
                <w:sz w:val="20"/>
                <w:szCs w:val="20"/>
                <w:lang w:val="en-US" w:eastAsia="zh-CN"/>
              </w:rPr>
            </w:pPr>
            <w:r>
              <w:rPr>
                <w:rFonts w:hint="eastAsia" w:ascii="宋体"/>
                <w:b w:val="0"/>
                <w:bCs/>
                <w:color w:val="000000"/>
                <w:sz w:val="20"/>
                <w:szCs w:val="20"/>
                <w:lang w:val="en-US" w:eastAsia="zh-CN"/>
              </w:rPr>
              <w:t>张蕊</w:t>
            </w:r>
          </w:p>
        </w:tc>
        <w:tc>
          <w:tcPr>
            <w:tcW w:w="700" w:type="dxa"/>
            <w:vAlign w:val="center"/>
          </w:tcPr>
          <w:p>
            <w:pPr>
              <w:jc w:val="both"/>
              <w:rPr>
                <w:rFonts w:ascii="宋体"/>
                <w:b w:val="0"/>
                <w:bCs/>
                <w:color w:val="000000"/>
                <w:sz w:val="20"/>
                <w:szCs w:val="20"/>
              </w:rPr>
            </w:pPr>
            <w:r>
              <w:rPr>
                <w:rFonts w:hint="eastAsia" w:ascii="宋体"/>
                <w:b w:val="0"/>
                <w:bCs/>
                <w:color w:val="000000"/>
                <w:sz w:val="20"/>
                <w:szCs w:val="20"/>
              </w:rPr>
              <w:t>邮箱</w:t>
            </w:r>
          </w:p>
        </w:tc>
        <w:tc>
          <w:tcPr>
            <w:tcW w:w="2677" w:type="dxa"/>
            <w:vAlign w:val="center"/>
          </w:tcPr>
          <w:p>
            <w:pPr>
              <w:jc w:val="both"/>
              <w:rPr>
                <w:rFonts w:ascii="宋体"/>
                <w:b w:val="0"/>
                <w:bCs/>
                <w:color w:val="000000"/>
                <w:sz w:val="20"/>
                <w:szCs w:val="20"/>
              </w:rPr>
            </w:pPr>
            <w:bookmarkStart w:id="10" w:name="联系人邮箱Add1"/>
            <w:bookmarkEnd w:id="10"/>
            <w:bookmarkStart w:id="11" w:name="联系人邮箱"/>
            <w:r>
              <w:rPr>
                <w:b w:val="0"/>
                <w:bCs w:val="0"/>
                <w:sz w:val="21"/>
                <w:szCs w:val="21"/>
              </w:rPr>
              <w:t>hblkxf119@126.com</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95" w:type="dxa"/>
            <w:vAlign w:val="center"/>
          </w:tcPr>
          <w:p>
            <w:pPr>
              <w:jc w:val="center"/>
              <w:rPr>
                <w:rFonts w:ascii="宋体"/>
                <w:b/>
                <w:bCs w:val="0"/>
                <w:color w:val="000000"/>
                <w:sz w:val="20"/>
                <w:szCs w:val="20"/>
              </w:rPr>
            </w:pPr>
            <w:r>
              <w:rPr>
                <w:rFonts w:hint="eastAsia" w:ascii="宋体" w:hAnsi="宋体"/>
                <w:b/>
                <w:bCs w:val="0"/>
                <w:color w:val="000000"/>
                <w:spacing w:val="-8"/>
                <w:sz w:val="20"/>
                <w:szCs w:val="20"/>
              </w:rPr>
              <w:t>体系文件实施时间</w:t>
            </w:r>
          </w:p>
        </w:tc>
        <w:tc>
          <w:tcPr>
            <w:tcW w:w="7632" w:type="dxa"/>
            <w:gridSpan w:val="5"/>
            <w:vAlign w:val="center"/>
          </w:tcPr>
          <w:p>
            <w:pPr>
              <w:jc w:val="both"/>
              <w:rPr>
                <w:rFonts w:hint="default" w:ascii="宋体" w:eastAsia="宋体"/>
                <w:b w:val="0"/>
                <w:bCs/>
                <w:color w:val="000000"/>
                <w:sz w:val="20"/>
                <w:szCs w:val="20"/>
                <w:lang w:val="en-US" w:eastAsia="zh-CN"/>
              </w:rPr>
            </w:pPr>
            <w:r>
              <w:rPr>
                <w:rFonts w:hint="eastAsia" w:ascii="宋体"/>
                <w:b w:val="0"/>
                <w:bCs/>
                <w:color w:val="000000"/>
                <w:sz w:val="20"/>
                <w:szCs w:val="20"/>
                <w:lang w:val="en-US" w:eastAsia="zh-CN"/>
              </w:rPr>
              <w:t>2020年9月3日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初定的管理体系认证范围</w:t>
            </w:r>
          </w:p>
        </w:tc>
        <w:tc>
          <w:tcPr>
            <w:tcW w:w="7632" w:type="dxa"/>
            <w:gridSpan w:val="5"/>
            <w:vAlign w:val="center"/>
          </w:tcPr>
          <w:p>
            <w:pPr>
              <w:widowControl/>
              <w:spacing w:line="280" w:lineRule="exact"/>
              <w:jc w:val="both"/>
              <w:rPr>
                <w:rFonts w:hint="eastAsia" w:ascii="宋体" w:hAnsi="宋体" w:eastAsia="宋体"/>
                <w:b w:val="0"/>
                <w:bCs/>
                <w:color w:val="000000"/>
                <w:sz w:val="20"/>
                <w:szCs w:val="20"/>
                <w:lang w:eastAsia="zh-CN"/>
              </w:rPr>
            </w:pPr>
            <w:bookmarkStart w:id="12" w:name="审核范围"/>
            <w:r>
              <w:rPr>
                <w:rFonts w:hint="eastAsia" w:ascii="宋体" w:hAnsi="宋体"/>
                <w:b w:val="0"/>
                <w:bCs/>
                <w:color w:val="000000"/>
                <w:sz w:val="20"/>
                <w:szCs w:val="20"/>
              </w:rPr>
              <w:t>Q：</w:t>
            </w:r>
            <w:r>
              <w:rPr>
                <w:rFonts w:hint="eastAsia" w:ascii="宋体" w:hAnsi="宋体"/>
                <w:b w:val="0"/>
                <w:bCs/>
                <w:color w:val="000000"/>
                <w:sz w:val="20"/>
                <w:szCs w:val="20"/>
                <w:lang w:eastAsia="zh-CN"/>
              </w:rPr>
              <w:t>消防设施维护保养检测、消防安全评估</w:t>
            </w:r>
          </w:p>
          <w:p>
            <w:pPr>
              <w:widowControl/>
              <w:spacing w:line="280" w:lineRule="exact"/>
              <w:jc w:val="both"/>
              <w:rPr>
                <w:rFonts w:hint="eastAsia" w:ascii="宋体" w:hAnsi="宋体"/>
                <w:b w:val="0"/>
                <w:bCs/>
                <w:color w:val="000000"/>
                <w:sz w:val="20"/>
                <w:szCs w:val="20"/>
              </w:rPr>
            </w:pPr>
            <w:r>
              <w:rPr>
                <w:rFonts w:hint="eastAsia" w:ascii="宋体" w:hAnsi="宋体"/>
                <w:b w:val="0"/>
                <w:bCs/>
                <w:color w:val="000000"/>
                <w:sz w:val="20"/>
                <w:szCs w:val="20"/>
              </w:rPr>
              <w:t>E：</w:t>
            </w:r>
            <w:r>
              <w:rPr>
                <w:rFonts w:hint="eastAsia" w:ascii="宋体" w:hAnsi="宋体"/>
                <w:b w:val="0"/>
                <w:bCs/>
                <w:color w:val="000000"/>
                <w:sz w:val="20"/>
                <w:szCs w:val="20"/>
                <w:lang w:eastAsia="zh-CN"/>
              </w:rPr>
              <w:t>消防设施维护保养检测、消防安全评估</w:t>
            </w:r>
            <w:r>
              <w:rPr>
                <w:b w:val="0"/>
                <w:bCs w:val="0"/>
                <w:sz w:val="21"/>
                <w:szCs w:val="21"/>
              </w:rPr>
              <w:t>所涉及场所的</w:t>
            </w:r>
            <w:r>
              <w:rPr>
                <w:rFonts w:hint="eastAsia" w:ascii="宋体" w:hAnsi="宋体"/>
                <w:b w:val="0"/>
                <w:bCs/>
                <w:color w:val="000000"/>
                <w:sz w:val="20"/>
                <w:szCs w:val="20"/>
              </w:rPr>
              <w:t>相关环境管理活动</w:t>
            </w:r>
          </w:p>
          <w:p>
            <w:pPr>
              <w:widowControl/>
              <w:spacing w:line="280" w:lineRule="exact"/>
              <w:jc w:val="both"/>
              <w:rPr>
                <w:rFonts w:ascii="宋体" w:hAnsi="宋体"/>
                <w:b w:val="0"/>
                <w:bCs/>
                <w:color w:val="000000"/>
                <w:sz w:val="20"/>
                <w:szCs w:val="20"/>
              </w:rPr>
            </w:pPr>
            <w:r>
              <w:rPr>
                <w:rFonts w:hint="eastAsia" w:ascii="宋体" w:hAnsi="宋体"/>
                <w:b w:val="0"/>
                <w:bCs/>
                <w:color w:val="000000"/>
                <w:sz w:val="20"/>
                <w:szCs w:val="20"/>
              </w:rPr>
              <w:t>O：</w:t>
            </w:r>
            <w:r>
              <w:rPr>
                <w:rFonts w:hint="eastAsia" w:ascii="宋体" w:hAnsi="宋体"/>
                <w:b w:val="0"/>
                <w:bCs/>
                <w:color w:val="000000"/>
                <w:sz w:val="20"/>
                <w:szCs w:val="20"/>
                <w:lang w:eastAsia="zh-CN"/>
              </w:rPr>
              <w:t>消防设施维护保养检测、消防安全评估</w:t>
            </w:r>
            <w:r>
              <w:rPr>
                <w:b w:val="0"/>
                <w:bCs w:val="0"/>
                <w:sz w:val="21"/>
                <w:szCs w:val="21"/>
              </w:rPr>
              <w:t>所涉及场所的</w:t>
            </w:r>
            <w:r>
              <w:rPr>
                <w:rFonts w:hint="eastAsia" w:ascii="宋体" w:hAnsi="宋体"/>
                <w:b w:val="0"/>
                <w:bCs/>
                <w:color w:val="000000"/>
                <w:sz w:val="20"/>
                <w:szCs w:val="20"/>
              </w:rPr>
              <w:t>相关职业健康安全管理活动</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95" w:type="dxa"/>
            <w:vAlign w:val="center"/>
          </w:tcPr>
          <w:p>
            <w:pPr>
              <w:spacing w:line="280" w:lineRule="exact"/>
              <w:jc w:val="center"/>
              <w:rPr>
                <w:rFonts w:ascii="宋体"/>
                <w:b/>
                <w:bCs w:val="0"/>
                <w:color w:val="000000"/>
                <w:spacing w:val="-8"/>
                <w:sz w:val="20"/>
                <w:szCs w:val="20"/>
              </w:rPr>
            </w:pPr>
            <w:r>
              <w:rPr>
                <w:rFonts w:hint="eastAsia" w:ascii="宋体" w:hAnsi="宋体"/>
                <w:b/>
                <w:bCs w:val="0"/>
                <w:color w:val="000000"/>
                <w:sz w:val="20"/>
                <w:szCs w:val="20"/>
              </w:rPr>
              <w:t>专业代码</w:t>
            </w:r>
          </w:p>
        </w:tc>
        <w:tc>
          <w:tcPr>
            <w:tcW w:w="7632" w:type="dxa"/>
            <w:gridSpan w:val="5"/>
            <w:vAlign w:val="center"/>
          </w:tcPr>
          <w:p>
            <w:pPr>
              <w:spacing w:line="280" w:lineRule="exact"/>
              <w:jc w:val="both"/>
              <w:rPr>
                <w:rFonts w:hint="eastAsia" w:ascii="宋体" w:eastAsia="宋体"/>
                <w:b w:val="0"/>
                <w:bCs/>
                <w:color w:val="000000"/>
                <w:sz w:val="20"/>
                <w:szCs w:val="20"/>
                <w:lang w:eastAsia="zh-CN"/>
              </w:rPr>
            </w:pPr>
            <w:bookmarkStart w:id="13" w:name="专业代码"/>
            <w:r>
              <w:rPr>
                <w:rFonts w:ascii="宋体"/>
                <w:b w:val="0"/>
                <w:bCs/>
                <w:color w:val="000000"/>
                <w:sz w:val="20"/>
                <w:szCs w:val="20"/>
              </w:rPr>
              <w:t>Q：</w:t>
            </w:r>
            <w:r>
              <w:rPr>
                <w:b w:val="0"/>
                <w:bCs w:val="0"/>
                <w:sz w:val="21"/>
                <w:szCs w:val="21"/>
              </w:rPr>
              <w:t>34.02.00</w:t>
            </w:r>
            <w:r>
              <w:rPr>
                <w:rFonts w:hint="eastAsia"/>
                <w:b w:val="0"/>
                <w:bCs w:val="0"/>
                <w:sz w:val="21"/>
                <w:szCs w:val="21"/>
                <w:lang w:val="en-US" w:eastAsia="zh-CN"/>
              </w:rPr>
              <w:t>,</w:t>
            </w:r>
            <w:r>
              <w:rPr>
                <w:b w:val="0"/>
                <w:bCs w:val="0"/>
                <w:sz w:val="21"/>
                <w:szCs w:val="21"/>
              </w:rPr>
              <w:t>28.07.01,34.06.00</w:t>
            </w:r>
          </w:p>
          <w:p>
            <w:pPr>
              <w:spacing w:line="280" w:lineRule="exact"/>
              <w:jc w:val="both"/>
              <w:rPr>
                <w:rFonts w:hint="eastAsia" w:ascii="宋体" w:eastAsia="宋体"/>
                <w:b w:val="0"/>
                <w:bCs/>
                <w:color w:val="000000"/>
                <w:sz w:val="20"/>
                <w:szCs w:val="20"/>
                <w:lang w:eastAsia="zh-CN"/>
              </w:rPr>
            </w:pPr>
            <w:r>
              <w:rPr>
                <w:rFonts w:ascii="宋体"/>
                <w:b w:val="0"/>
                <w:bCs/>
                <w:color w:val="000000"/>
                <w:sz w:val="20"/>
                <w:szCs w:val="20"/>
              </w:rPr>
              <w:t>E：</w:t>
            </w:r>
            <w:r>
              <w:rPr>
                <w:b w:val="0"/>
                <w:bCs w:val="0"/>
                <w:sz w:val="21"/>
                <w:szCs w:val="21"/>
              </w:rPr>
              <w:t>34.02.00</w:t>
            </w:r>
            <w:r>
              <w:rPr>
                <w:rFonts w:hint="eastAsia"/>
                <w:b w:val="0"/>
                <w:bCs w:val="0"/>
                <w:sz w:val="21"/>
                <w:szCs w:val="21"/>
                <w:lang w:val="en-US" w:eastAsia="zh-CN"/>
              </w:rPr>
              <w:t>,</w:t>
            </w:r>
            <w:r>
              <w:rPr>
                <w:b w:val="0"/>
                <w:bCs w:val="0"/>
                <w:sz w:val="21"/>
                <w:szCs w:val="21"/>
              </w:rPr>
              <w:t>28.07.01,34.06.00</w:t>
            </w:r>
          </w:p>
          <w:p>
            <w:pPr>
              <w:spacing w:line="280" w:lineRule="exact"/>
              <w:jc w:val="both"/>
              <w:rPr>
                <w:rFonts w:hint="eastAsia" w:ascii="宋体" w:eastAsia="宋体"/>
                <w:b w:val="0"/>
                <w:bCs/>
                <w:color w:val="000000"/>
                <w:sz w:val="20"/>
                <w:szCs w:val="20"/>
                <w:lang w:eastAsia="zh-CN"/>
              </w:rPr>
            </w:pPr>
            <w:r>
              <w:rPr>
                <w:rFonts w:ascii="宋体"/>
                <w:b w:val="0"/>
                <w:bCs/>
                <w:color w:val="000000"/>
                <w:sz w:val="20"/>
                <w:szCs w:val="20"/>
              </w:rPr>
              <w:t>O：</w:t>
            </w:r>
            <w:bookmarkEnd w:id="13"/>
            <w:r>
              <w:rPr>
                <w:b w:val="0"/>
                <w:bCs w:val="0"/>
                <w:sz w:val="21"/>
                <w:szCs w:val="21"/>
              </w:rPr>
              <w:t>34.02.00</w:t>
            </w:r>
            <w:r>
              <w:rPr>
                <w:rFonts w:hint="eastAsia"/>
                <w:b w:val="0"/>
                <w:bCs w:val="0"/>
                <w:sz w:val="21"/>
                <w:szCs w:val="21"/>
                <w:lang w:val="en-US" w:eastAsia="zh-CN"/>
              </w:rPr>
              <w:t>,</w:t>
            </w:r>
            <w:r>
              <w:rPr>
                <w:b w:val="0"/>
                <w:bCs w:val="0"/>
                <w:sz w:val="21"/>
                <w:szCs w:val="21"/>
              </w:rPr>
              <w:t>28.07.01,34.06.00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695" w:type="dxa"/>
            <w:vAlign w:val="center"/>
          </w:tcPr>
          <w:p>
            <w:pPr>
              <w:spacing w:line="280" w:lineRule="exact"/>
              <w:jc w:val="center"/>
              <w:rPr>
                <w:rFonts w:ascii="宋体"/>
                <w:b/>
                <w:bCs w:val="0"/>
                <w:color w:val="000000"/>
                <w:sz w:val="20"/>
                <w:szCs w:val="20"/>
              </w:rPr>
            </w:pPr>
            <w:r>
              <w:rPr>
                <w:rFonts w:hint="eastAsia" w:ascii="宋体" w:hAnsi="宋体"/>
                <w:b/>
                <w:bCs w:val="0"/>
                <w:color w:val="000000"/>
                <w:sz w:val="20"/>
                <w:szCs w:val="20"/>
              </w:rPr>
              <w:t>体系覆盖区域</w:t>
            </w:r>
          </w:p>
        </w:tc>
        <w:tc>
          <w:tcPr>
            <w:tcW w:w="7632" w:type="dxa"/>
            <w:gridSpan w:val="5"/>
            <w:vAlign w:val="center"/>
          </w:tcPr>
          <w:p>
            <w:pPr>
              <w:widowControl/>
              <w:spacing w:line="280" w:lineRule="exact"/>
              <w:jc w:val="both"/>
              <w:rPr>
                <w:rFonts w:hint="eastAsia" w:ascii="宋体" w:eastAsia="宋体"/>
                <w:b w:val="0"/>
                <w:bCs/>
                <w:color w:val="000000"/>
                <w:sz w:val="20"/>
                <w:szCs w:val="20"/>
                <w:lang w:val="en-US" w:eastAsia="zh-CN"/>
              </w:rPr>
            </w:pPr>
            <w:r>
              <w:rPr>
                <w:rFonts w:hint="eastAsia" w:ascii="宋体" w:hAnsi="宋体"/>
                <w:b w:val="0"/>
                <w:bCs/>
                <w:color w:val="000000"/>
                <w:sz w:val="20"/>
                <w:szCs w:val="20"/>
              </w:rPr>
              <w:t>总部以外分公司</w:t>
            </w:r>
            <w:r>
              <w:rPr>
                <w:rFonts w:ascii="宋体" w:hAnsi="宋体"/>
                <w:b w:val="0"/>
                <w:bCs/>
                <w:color w:val="000000"/>
                <w:sz w:val="20"/>
                <w:szCs w:val="20"/>
              </w:rPr>
              <w:t>(</w:t>
            </w:r>
            <w:r>
              <w:rPr>
                <w:rFonts w:hint="eastAsia" w:ascii="宋体" w:hAnsi="宋体"/>
                <w:b w:val="0"/>
                <w:bCs/>
                <w:color w:val="000000"/>
                <w:sz w:val="20"/>
                <w:szCs w:val="20"/>
              </w:rPr>
              <w:t>分场所</w:t>
            </w:r>
            <w:r>
              <w:rPr>
                <w:rFonts w:ascii="宋体" w:hAnsi="宋体"/>
                <w:b w:val="0"/>
                <w:bCs/>
                <w:color w:val="000000"/>
                <w:sz w:val="20"/>
                <w:szCs w:val="20"/>
              </w:rPr>
              <w:t>)</w:t>
            </w:r>
            <w:r>
              <w:rPr>
                <w:rFonts w:hint="eastAsia" w:ascii="宋体" w:hAnsi="宋体"/>
                <w:b w:val="0"/>
                <w:bCs/>
                <w:color w:val="000000"/>
                <w:sz w:val="20"/>
                <w:szCs w:val="20"/>
              </w:rPr>
              <w:t>名称、地址（可附多场所清单）</w:t>
            </w:r>
            <w:r>
              <w:rPr>
                <w:rFonts w:hint="eastAsia" w:ascii="宋体" w:hAnsi="宋体"/>
                <w:b w:val="0"/>
                <w:bCs/>
                <w:color w:val="000000"/>
                <w:sz w:val="20"/>
                <w:szCs w:val="20"/>
                <w:lang w:eastAsia="zh-CN"/>
              </w:rPr>
              <w:t>：</w:t>
            </w:r>
            <w:r>
              <w:rPr>
                <w:rFonts w:hint="eastAsia" w:ascii="宋体"/>
                <w:b w:val="0"/>
                <w:bCs/>
                <w:color w:val="000000"/>
                <w:sz w:val="20"/>
                <w:szCs w:val="20"/>
                <w:lang w:val="en-US" w:eastAsia="zh-CN"/>
              </w:rPr>
              <w:t>无</w:t>
            </w:r>
          </w:p>
          <w:p>
            <w:pPr>
              <w:spacing w:line="280" w:lineRule="exact"/>
              <w:jc w:val="both"/>
              <w:rPr>
                <w:rFonts w:hint="default" w:ascii="宋体" w:eastAsia="宋体"/>
                <w:b w:val="0"/>
                <w:bCs/>
                <w:color w:val="000000"/>
                <w:sz w:val="20"/>
                <w:szCs w:val="20"/>
                <w:lang w:val="en-US" w:eastAsia="zh-CN"/>
              </w:rPr>
            </w:pPr>
            <w:r>
              <w:rPr>
                <w:rFonts w:hint="eastAsia" w:ascii="宋体" w:hAnsi="宋体"/>
                <w:b w:val="0"/>
                <w:bCs/>
                <w:color w:val="000000"/>
                <w:sz w:val="20"/>
                <w:szCs w:val="20"/>
              </w:rPr>
              <w:t>所有项目部</w:t>
            </w:r>
            <w:r>
              <w:rPr>
                <w:rFonts w:ascii="宋体" w:hAnsi="宋体"/>
                <w:b w:val="0"/>
                <w:bCs/>
                <w:color w:val="000000"/>
                <w:sz w:val="20"/>
                <w:szCs w:val="20"/>
              </w:rPr>
              <w:t>(</w:t>
            </w:r>
            <w:r>
              <w:rPr>
                <w:rFonts w:hint="eastAsia" w:ascii="宋体" w:hAnsi="宋体"/>
                <w:b w:val="0"/>
                <w:bCs/>
                <w:color w:val="000000"/>
                <w:spacing w:val="-2"/>
                <w:sz w:val="20"/>
                <w:szCs w:val="20"/>
              </w:rPr>
              <w:t>临时场所</w:t>
            </w:r>
            <w:r>
              <w:rPr>
                <w:rFonts w:ascii="宋体" w:hAnsi="宋体"/>
                <w:b w:val="0"/>
                <w:bCs/>
                <w:color w:val="000000"/>
                <w:sz w:val="20"/>
                <w:szCs w:val="20"/>
              </w:rPr>
              <w:t>)</w:t>
            </w:r>
            <w:r>
              <w:rPr>
                <w:rFonts w:hint="eastAsia" w:ascii="宋体" w:hAnsi="宋体"/>
                <w:b w:val="0"/>
                <w:bCs/>
                <w:color w:val="000000"/>
                <w:sz w:val="20"/>
                <w:szCs w:val="20"/>
              </w:rPr>
              <w:t>名称、地址</w:t>
            </w:r>
            <w:r>
              <w:rPr>
                <w:rFonts w:ascii="宋体" w:hAnsi="宋体"/>
                <w:b w:val="0"/>
                <w:bCs/>
                <w:color w:val="000000"/>
                <w:sz w:val="20"/>
                <w:szCs w:val="20"/>
              </w:rPr>
              <w:t>(</w:t>
            </w:r>
            <w:r>
              <w:rPr>
                <w:rFonts w:hint="eastAsia" w:ascii="宋体" w:hAnsi="宋体"/>
                <w:b w:val="0"/>
                <w:bCs/>
                <w:color w:val="000000"/>
                <w:sz w:val="20"/>
                <w:szCs w:val="20"/>
              </w:rPr>
              <w:t>可附项目清单</w:t>
            </w:r>
            <w:r>
              <w:rPr>
                <w:rFonts w:ascii="宋体" w:hAnsi="宋体"/>
                <w:b w:val="0"/>
                <w:bCs/>
                <w:color w:val="000000"/>
                <w:sz w:val="20"/>
                <w:szCs w:val="20"/>
              </w:rPr>
              <w:t>)</w:t>
            </w:r>
            <w:r>
              <w:rPr>
                <w:rFonts w:hint="eastAsia" w:ascii="宋体" w:hAnsi="宋体"/>
                <w:b w:val="0"/>
                <w:bCs/>
                <w:color w:val="000000"/>
                <w:sz w:val="20"/>
                <w:szCs w:val="20"/>
                <w:lang w:eastAsia="zh-CN"/>
              </w:rPr>
              <w:t>：</w:t>
            </w:r>
            <w:r>
              <w:rPr>
                <w:rFonts w:hint="eastAsia" w:ascii="宋体" w:hAnsi="宋体"/>
                <w:b w:val="0"/>
                <w:bCs/>
                <w:color w:val="000000"/>
                <w:sz w:val="20"/>
                <w:szCs w:val="20"/>
                <w:lang w:val="en-US" w:eastAsia="zh-CN"/>
              </w:rPr>
              <w:t>见多场所清单</w:t>
            </w:r>
          </w:p>
        </w:tc>
      </w:tr>
    </w:tbl>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282" w:firstLineChars="115"/>
        <w:textAlignment w:val="auto"/>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keepNext w:val="0"/>
        <w:keepLines w:val="0"/>
        <w:pageBreakBefore w:val="0"/>
        <w:widowControl w:val="0"/>
        <w:kinsoku/>
        <w:wordWrap/>
        <w:overflowPunct/>
        <w:topLinePunct w:val="0"/>
        <w:autoSpaceDE/>
        <w:autoSpaceDN/>
        <w:bidi w:val="0"/>
        <w:adjustRightInd/>
        <w:spacing w:line="360" w:lineRule="exact"/>
        <w:ind w:firstLine="268" w:firstLineChars="139"/>
        <w:textAlignment w:val="auto"/>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keepNext w:val="0"/>
        <w:keepLines w:val="0"/>
        <w:pageBreakBefore w:val="0"/>
        <w:widowControl w:val="0"/>
        <w:kinsoku/>
        <w:wordWrap/>
        <w:overflowPunct/>
        <w:topLinePunct w:val="0"/>
        <w:autoSpaceDE/>
        <w:autoSpaceDN/>
        <w:bidi w:val="0"/>
        <w:adjustRightInd/>
        <w:spacing w:line="360" w:lineRule="exact"/>
        <w:ind w:firstLine="270" w:firstLineChars="137"/>
        <w:textAlignment w:val="auto"/>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keepNext w:val="0"/>
        <w:keepLines w:val="0"/>
        <w:pageBreakBefore w:val="0"/>
        <w:widowControl w:val="0"/>
        <w:kinsoku/>
        <w:wordWrap/>
        <w:overflowPunct/>
        <w:topLinePunct w:val="0"/>
        <w:autoSpaceDE/>
        <w:autoSpaceDN/>
        <w:bidi w:val="0"/>
        <w:adjustRightInd/>
        <w:spacing w:line="360" w:lineRule="exact"/>
        <w:ind w:firstLine="268" w:firstLineChars="148"/>
        <w:textAlignment w:val="auto"/>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pacing w:line="360" w:lineRule="exact"/>
        <w:ind w:firstLine="268" w:firstLineChars="148"/>
        <w:textAlignment w:val="auto"/>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pacing w:line="360" w:lineRule="exact"/>
        <w:ind w:firstLine="268" w:firstLineChars="139"/>
        <w:textAlignment w:val="auto"/>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管理层、办公室、检测部、维保部</w:t>
      </w:r>
    </w:p>
    <w:p>
      <w:pPr>
        <w:keepNext w:val="0"/>
        <w:keepLines w:val="0"/>
        <w:pageBreakBefore w:val="0"/>
        <w:widowControl w:val="0"/>
        <w:kinsoku/>
        <w:wordWrap/>
        <w:overflowPunct/>
        <w:topLinePunct w:val="0"/>
        <w:autoSpaceDE/>
        <w:autoSpaceDN/>
        <w:bidi w:val="0"/>
        <w:adjustRightInd/>
        <w:spacing w:line="360" w:lineRule="exact"/>
        <w:ind w:firstLine="269" w:firstLineChars="134"/>
        <w:textAlignment w:val="auto"/>
        <w:rPr>
          <w:rFonts w:hint="default" w:ascii="宋体"/>
          <w:b/>
          <w:color w:val="000000"/>
          <w:sz w:val="20"/>
          <w:szCs w:val="20"/>
          <w:u w:val="single"/>
          <w:lang w:val="en-US"/>
        </w:rPr>
      </w:pPr>
      <w:r>
        <w:rPr>
          <w:rFonts w:hint="eastAsia" w:ascii="宋体" w:hAnsi="宋体"/>
          <w:b/>
          <w:color w:val="000000"/>
          <w:sz w:val="20"/>
          <w:szCs w:val="20"/>
        </w:rPr>
        <w:t>场所：</w:t>
      </w:r>
      <w:r>
        <w:rPr>
          <w:rFonts w:hint="eastAsia" w:ascii="宋体"/>
          <w:b/>
          <w:color w:val="000000"/>
          <w:sz w:val="20"/>
          <w:szCs w:val="20"/>
          <w:lang w:val="en-US" w:eastAsia="zh-CN"/>
        </w:rPr>
        <w:t>办公区、维保现场</w:t>
      </w:r>
    </w:p>
    <w:p>
      <w:pPr>
        <w:keepNext w:val="0"/>
        <w:keepLines w:val="0"/>
        <w:pageBreakBefore w:val="0"/>
        <w:widowControl w:val="0"/>
        <w:kinsoku/>
        <w:wordWrap/>
        <w:overflowPunct/>
        <w:topLinePunct w:val="0"/>
        <w:autoSpaceDE/>
        <w:autoSpaceDN/>
        <w:bidi w:val="0"/>
        <w:adjustRightInd/>
        <w:spacing w:before="156" w:beforeLines="50" w:after="156" w:afterLines="50" w:line="360" w:lineRule="exact"/>
        <w:ind w:left="279" w:leftChars="125" w:hanging="16" w:hangingChars="8"/>
        <w:textAlignment w:val="auto"/>
        <w:rPr>
          <w:rFonts w:hint="eastAsia" w:ascii="宋体" w:hAnsi="宋体"/>
          <w:b/>
          <w:color w:val="000000"/>
          <w:sz w:val="26"/>
          <w:szCs w:val="26"/>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jc w:val="center"/>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b/>
                <w:color w:val="000000"/>
                <w:sz w:val="20"/>
                <w:szCs w:val="20"/>
                <w:lang w:eastAsia="zh-CN"/>
              </w:rPr>
            </w:pPr>
            <w:r>
              <w:rPr>
                <w:rFonts w:hint="eastAsia" w:ascii="宋体" w:hAnsi="宋体"/>
                <w:sz w:val="21"/>
                <w:szCs w:val="21"/>
                <w:lang w:eastAsia="zh-CN"/>
              </w:rPr>
              <w:t>消防设施维护保养检测、消防安全评估、</w:t>
            </w:r>
            <w:r>
              <w:rPr>
                <w:rFonts w:hint="eastAsia" w:ascii="宋体" w:hAnsi="宋体"/>
                <w:szCs w:val="21"/>
              </w:rPr>
              <w:t>消防器材的销售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hAnsi="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综合办、维保部、检测部、业务部、财务部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综合办</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维保部、检测部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hAnsi="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综合办</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sz w:val="21"/>
                <w:szCs w:val="21"/>
                <w:lang w:eastAsia="zh-CN"/>
              </w:rPr>
              <w:t>石家庄高新区黄河大道与天山大街交口北行50米路东院内北排1号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sz w:val="21"/>
                <w:szCs w:val="21"/>
                <w:lang w:eastAsia="zh-CN"/>
              </w:rPr>
              <w:t>石家庄高新区黄河大道与天山大街交口北行50米路东院内北排1号</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auto"/>
                <w:spacing w:val="-10"/>
                <w:sz w:val="20"/>
                <w:szCs w:val="20"/>
              </w:rPr>
              <w:t>产品技术标准号：</w:t>
            </w:r>
            <w:r>
              <w:rPr>
                <w:rFonts w:hint="default" w:ascii="Times New Roman" w:hAnsi="Times New Roman" w:eastAsia="宋体" w:cs="Times New Roman"/>
                <w:b w:val="0"/>
                <w:bCs w:val="0"/>
                <w:color w:val="auto"/>
                <w:sz w:val="21"/>
                <w:szCs w:val="21"/>
              </w:rPr>
              <w:t>GB50016-2014《建筑设计防火规范》</w:t>
            </w:r>
            <w:r>
              <w:rPr>
                <w:rFonts w:hint="default" w:ascii="Times New Roman" w:hAnsi="Times New Roman" w:eastAsia="宋体" w:cs="Times New Roman"/>
                <w:b w:val="0"/>
                <w:bCs w:val="0"/>
                <w:color w:val="auto"/>
                <w:sz w:val="21"/>
                <w:szCs w:val="21"/>
              </w:rPr>
              <w:tab/>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lang w:eastAsia="zh-CN"/>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r>
              <w:rPr>
                <w:rFonts w:hint="eastAsia" w:ascii="宋体"/>
                <w:color w:val="000000"/>
                <w:sz w:val="20"/>
                <w:szCs w:val="20"/>
                <w:lang w:val="en-US" w:eastAsia="zh-CN"/>
              </w:rPr>
              <w:t>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Times New Roman"/>
                <w:color w:val="000000"/>
                <w:sz w:val="20"/>
                <w:szCs w:val="20"/>
              </w:rPr>
            </w:pPr>
            <w:r>
              <w:rPr>
                <w:rFonts w:hint="default" w:ascii="宋体" w:hAnsi="宋体" w:cs="Times New Roman"/>
                <w:color w:val="000000"/>
                <w:sz w:val="20"/>
                <w:szCs w:val="20"/>
                <w:lang w:val="en-US" w:eastAsia="zh-CN"/>
              </w:rPr>
              <w:t xml:space="preserve">消防设施维保工艺流程： 合作意向→现场勘查(对整体设备检查)→签定合同→甲方提供资料 →编写维保方案→维保准备及人员安全培训→进行维保→调试运行→填 写维保报告书→向甲方反馈问题→甲方委托维修→填写消防设施维修单 →设备维修调试→设备运行验收→建立维护保养档案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Times New Roman"/>
                <w:color w:val="000000"/>
                <w:sz w:val="20"/>
                <w:szCs w:val="20"/>
                <w:lang w:val="en-US" w:eastAsia="zh-CN"/>
              </w:rPr>
            </w:pPr>
            <w:r>
              <w:rPr>
                <w:rFonts w:hint="default" w:ascii="宋体" w:hAnsi="宋体" w:cs="Times New Roman"/>
                <w:color w:val="000000"/>
                <w:sz w:val="20"/>
                <w:szCs w:val="20"/>
                <w:lang w:val="en-US" w:eastAsia="zh-CN"/>
              </w:rPr>
              <w:t>消防设施检测、消防安全评估工艺流程： 接收项目→签订委托书→收集资料→踏勘现场→实施检测/评估→编制检测/评估报告→交付→建立评估档案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lang w:eastAsia="zh-CN"/>
              </w:rPr>
            </w:pPr>
            <w:r>
              <w:rPr>
                <w:rFonts w:hint="eastAsia" w:ascii="宋体" w:hAnsi="宋体" w:cs="Times New Roman"/>
                <w:color w:val="000000"/>
                <w:sz w:val="20"/>
                <w:szCs w:val="20"/>
              </w:rPr>
              <w:t>消防器材的销售</w:t>
            </w:r>
            <w:r>
              <w:rPr>
                <w:rFonts w:hint="eastAsia" w:ascii="宋体" w:hAnsi="宋体" w:cs="Times New Roman"/>
                <w:color w:val="000000"/>
                <w:sz w:val="20"/>
                <w:szCs w:val="20"/>
                <w:lang w:eastAsia="zh-CN"/>
              </w:rPr>
              <w:t>：</w:t>
            </w:r>
            <w:r>
              <w:rPr>
                <w:rFonts w:hint="eastAsia" w:ascii="宋体" w:hAnsi="宋体" w:cs="Times New Roman"/>
                <w:color w:val="000000"/>
                <w:sz w:val="20"/>
                <w:szCs w:val="20"/>
                <w:lang w:val="en-US" w:eastAsia="zh-CN"/>
              </w:rPr>
              <w:t>业务洽谈</w:t>
            </w:r>
            <w:r>
              <w:rPr>
                <w:rFonts w:hint="eastAsia" w:ascii="宋体" w:hAnsi="宋体" w:cs="Times New Roman"/>
                <w:color w:val="000000"/>
                <w:sz w:val="20"/>
                <w:szCs w:val="20"/>
              </w:rPr>
              <w:t>―签订合同―</w:t>
            </w:r>
            <w:r>
              <w:rPr>
                <w:rFonts w:hint="eastAsia" w:ascii="宋体" w:hAnsi="宋体" w:cs="Times New Roman"/>
                <w:color w:val="000000"/>
                <w:sz w:val="20"/>
                <w:szCs w:val="20"/>
                <w:lang w:eastAsia="zh-CN"/>
              </w:rPr>
              <w:t>产品采购</w:t>
            </w:r>
            <w:r>
              <w:rPr>
                <w:rFonts w:hint="eastAsia" w:ascii="宋体" w:hAnsi="宋体" w:cs="Times New Roman"/>
                <w:color w:val="000000"/>
                <w:sz w:val="20"/>
                <w:szCs w:val="20"/>
              </w:rPr>
              <w:t>―</w:t>
            </w:r>
            <w:r>
              <w:rPr>
                <w:rFonts w:hint="eastAsia" w:ascii="宋体" w:hAnsi="宋体" w:cs="Times New Roman"/>
                <w:color w:val="000000"/>
                <w:sz w:val="20"/>
                <w:szCs w:val="20"/>
                <w:lang w:val="en-US" w:eastAsia="zh-CN"/>
              </w:rPr>
              <w:t>发货至顾客指定地址</w:t>
            </w:r>
            <w:r>
              <w:rPr>
                <w:rFonts w:hint="eastAsia" w:ascii="宋体" w:hAnsi="宋体" w:cs="Times New Roman"/>
                <w:color w:val="000000"/>
                <w:sz w:val="20"/>
                <w:szCs w:val="20"/>
              </w:rPr>
              <w:t>―</w:t>
            </w:r>
            <w:r>
              <w:rPr>
                <w:rFonts w:hint="eastAsia" w:ascii="宋体" w:hAnsi="宋体" w:cs="Times New Roman"/>
                <w:color w:val="000000"/>
                <w:sz w:val="20"/>
                <w:szCs w:val="20"/>
                <w:lang w:val="en-US" w:eastAsia="zh-CN"/>
              </w:rPr>
              <w:t xml:space="preserve"> </w:t>
            </w:r>
            <w:r>
              <w:rPr>
                <w:rFonts w:hint="eastAsia" w:ascii="宋体" w:hAnsi="宋体" w:cs="Times New Roman"/>
                <w:color w:val="000000"/>
                <w:sz w:val="20"/>
                <w:szCs w:val="20"/>
              </w:rPr>
              <w:t>验收―</w:t>
            </w:r>
            <w:r>
              <w:rPr>
                <w:rFonts w:hint="eastAsia" w:ascii="宋体" w:hAnsi="宋体" w:cs="Times New Roman"/>
                <w:color w:val="000000"/>
                <w:sz w:val="20"/>
                <w:szCs w:val="20"/>
                <w:lang w:eastAsia="zh-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维保、检测、评估、销售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设备操作规程、销售服务规范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color w:val="000000"/>
                <w:spacing w:val="-10"/>
                <w:sz w:val="20"/>
                <w:szCs w:val="20"/>
                <w:lang w:val="en-US"/>
              </w:rPr>
            </w:pPr>
            <w:r>
              <w:rPr>
                <w:rFonts w:hint="eastAsia" w:ascii="宋体" w:hAnsi="宋体"/>
                <w:color w:val="000000"/>
                <w:sz w:val="20"/>
                <w:szCs w:val="20"/>
              </w:rPr>
              <w:t>需要确认过程：</w:t>
            </w:r>
            <w:r>
              <w:rPr>
                <w:rFonts w:hint="eastAsia" w:ascii="宋体" w:hAnsi="宋体"/>
                <w:color w:val="000000"/>
                <w:sz w:val="20"/>
                <w:szCs w:val="20"/>
                <w:lang w:val="en-US" w:eastAsia="zh-CN"/>
              </w:rPr>
              <w:t>维保、检测、评估、销售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default" w:ascii="宋体" w:hAnsi="宋体" w:cs="Times New Roman"/>
                <w:color w:val="0000FF"/>
                <w:spacing w:val="-10"/>
                <w:sz w:val="20"/>
                <w:szCs w:val="20"/>
              </w:rPr>
              <w:t>激光测距仪</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数字照度仪</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数字声级计</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数字风速仪</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消火栓试压接头</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末端试水试压接头</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温感、烟感探测试验器</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线性光束感烟探测器滤光片</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火焰探测试验器</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可燃气体探测仪</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数字压力表</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细水雾末端试水装置</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辐射热计</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烟密度仪</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烟气分析仪</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单警执法视音频记录仪</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 xml:space="preserve">无线对讲机 </w:t>
            </w:r>
            <w:r>
              <w:rPr>
                <w:rFonts w:hint="default" w:ascii="宋体" w:hAnsi="宋体" w:cs="Times New Roman"/>
                <w:color w:val="0000FF"/>
                <w:spacing w:val="-10"/>
                <w:sz w:val="20"/>
                <w:szCs w:val="20"/>
                <w:lang w:eastAsia="zh-CN"/>
              </w:rPr>
              <w:t>、</w:t>
            </w:r>
            <w:r>
              <w:rPr>
                <w:rFonts w:hint="default" w:ascii="宋体" w:hAnsi="宋体" w:cs="Times New Roman"/>
                <w:color w:val="0000FF"/>
                <w:spacing w:val="-10"/>
                <w:sz w:val="20"/>
                <w:szCs w:val="20"/>
              </w:rPr>
              <w:t>防爆对讲机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color w:val="0000FF"/>
                <w:sz w:val="21"/>
                <w:szCs w:val="21"/>
                <w:lang w:val="en-US" w:eastAsia="zh-CN"/>
              </w:rPr>
              <w:t>租用办公室</w:t>
            </w:r>
            <w:r>
              <w:rPr>
                <w:rFonts w:hint="eastAsia" w:eastAsia="宋体"/>
                <w:color w:val="0000FF"/>
                <w:sz w:val="21"/>
                <w:szCs w:val="21"/>
                <w:lang w:eastAsia="zh-CN"/>
              </w:rPr>
              <w:t>面积</w:t>
            </w:r>
            <w:r>
              <w:rPr>
                <w:rFonts w:hint="eastAsia"/>
                <w:color w:val="0000FF"/>
                <w:sz w:val="21"/>
                <w:szCs w:val="21"/>
                <w:lang w:val="en-US" w:eastAsia="zh-CN"/>
              </w:rPr>
              <w:t>4</w:t>
            </w:r>
            <w:r>
              <w:rPr>
                <w:rFonts w:hint="eastAsia" w:eastAsia="宋体"/>
                <w:color w:val="0000FF"/>
                <w:sz w:val="21"/>
                <w:szCs w:val="21"/>
                <w:lang w:val="en-US" w:eastAsia="zh-CN"/>
              </w:rPr>
              <w:t>00</w:t>
            </w:r>
            <w:r>
              <w:rPr>
                <w:rFonts w:hint="eastAsia" w:eastAsia="宋体"/>
                <w:color w:val="0000FF"/>
                <w:sz w:val="21"/>
                <w:szCs w:val="21"/>
                <w:lang w:eastAsia="zh-CN"/>
              </w:rPr>
              <w:t>平</w:t>
            </w:r>
            <w:r>
              <w:rPr>
                <w:rFonts w:hint="eastAsia" w:eastAsia="宋体"/>
                <w:color w:val="0000FF"/>
                <w:sz w:val="21"/>
                <w:szCs w:val="21"/>
                <w:lang w:val="en-US" w:eastAsia="zh-CN"/>
              </w:rPr>
              <w:t>，</w:t>
            </w:r>
            <w:r>
              <w:rPr>
                <w:rFonts w:hint="eastAsia"/>
                <w:color w:val="0000FF"/>
                <w:sz w:val="21"/>
                <w:szCs w:val="21"/>
                <w:lang w:val="en-US" w:eastAsia="zh-CN"/>
              </w:rPr>
              <w:t>工位</w:t>
            </w:r>
            <w:r>
              <w:rPr>
                <w:rFonts w:hint="eastAsia"/>
                <w:color w:val="0000FF"/>
                <w:sz w:val="21"/>
                <w:szCs w:val="21"/>
                <w:lang w:eastAsia="zh-CN"/>
              </w:rPr>
              <w:t>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default" w:ascii="Times New Roman" w:hAnsi="Times New Roman" w:cs="Times New Roman"/>
                <w:sz w:val="21"/>
                <w:szCs w:val="21"/>
                <w:highlight w:val="none"/>
              </w:rPr>
              <w:t>固体废弃物排放、火灾的发生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应急预案有：火灾事故应急预案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ascii="宋体"/>
                <w:color w:val="000000"/>
                <w:sz w:val="20"/>
                <w:szCs w:val="20"/>
                <w:lang w:eastAsia="zh-CN"/>
              </w:rPr>
              <w:t>潜在火灾、触电</w:t>
            </w:r>
            <w:r>
              <w:rPr>
                <w:rFonts w:hint="eastAsia" w:ascii="宋体"/>
                <w:color w:val="000000"/>
                <w:sz w:val="20"/>
                <w:szCs w:val="20"/>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检测部、维保部、业务部、综合办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产品和服务要求；外部提供的过程、产品和服务；生产和服务提供过程；产品和服务放行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项目现场、办公区域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检测部、维保部、业务部、综合办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项目现场、办公区域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9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检测部、维保部、业务部、综合办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项目现场、办公区域</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76" w:type="dxa"/>
            <w:vMerge w:val="restart"/>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了解内审结论是什么？</w:t>
            </w:r>
            <w:r>
              <w:rPr>
                <w:rFonts w:hint="eastAsia"/>
                <w:sz w:val="21"/>
                <w:szCs w:val="21"/>
              </w:rPr>
              <w:t>公司的质量、环境、职业健康安全管理体系基本符合标准要求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497" w:type="dxa"/>
            <w:gridSpan w:val="2"/>
            <w:noWrap w:val="0"/>
            <w:vAlign w:val="top"/>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rPr>
          <w:rFonts w:hint="eastAsia"/>
          <w:color w:val="000000"/>
          <w:szCs w:val="21"/>
        </w:rPr>
      </w:pPr>
      <w:r>
        <w:rPr>
          <w:rFonts w:hint="eastAsia" w:ascii="宋体" w:hAnsi="宋体"/>
          <w:szCs w:val="21"/>
        </w:rPr>
        <w:t>Q：消防设施维护保养检测、消防安全评估、消防器材的销售</w:t>
      </w:r>
    </w:p>
    <w:p>
      <w:pPr>
        <w:rPr>
          <w:rFonts w:hint="eastAsia" w:ascii="宋体" w:hAnsi="宋体"/>
          <w:szCs w:val="21"/>
        </w:rPr>
      </w:pPr>
      <w:r>
        <w:rPr>
          <w:rFonts w:hint="eastAsia" w:ascii="宋体" w:hAnsi="宋体"/>
          <w:szCs w:val="21"/>
        </w:rPr>
        <w:t>E：消防设施维护保养检测、消防安全评估、消防器材的销售所涉及场所的相关环境管理活动</w:t>
      </w:r>
    </w:p>
    <w:p>
      <w:pPr>
        <w:pStyle w:val="2"/>
      </w:pPr>
      <w:r>
        <w:rPr>
          <w:rFonts w:hint="eastAsia" w:ascii="宋体" w:hAnsi="宋体"/>
          <w:szCs w:val="21"/>
        </w:rPr>
        <w:t>O：消防设施维护保养检测、消防安全评估、消防器材的销售所涉及场所的相关职业健康安全管理活动</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61312" behindDoc="0" locked="0" layoutInCell="1" allowOverlap="1">
            <wp:simplePos x="0" y="0"/>
            <wp:positionH relativeFrom="column">
              <wp:posOffset>1785620</wp:posOffset>
            </wp:positionH>
            <wp:positionV relativeFrom="paragraph">
              <wp:posOffset>50165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drawing>
          <wp:anchor distT="0" distB="0" distL="114300" distR="114300" simplePos="0" relativeHeight="251662336" behindDoc="0" locked="0" layoutInCell="1" allowOverlap="1">
            <wp:simplePos x="0" y="0"/>
            <wp:positionH relativeFrom="column">
              <wp:posOffset>1814830</wp:posOffset>
            </wp:positionH>
            <wp:positionV relativeFrom="paragraph">
              <wp:posOffset>163195</wp:posOffset>
            </wp:positionV>
            <wp:extent cx="1035050" cy="508000"/>
            <wp:effectExtent l="0" t="0" r="635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035050" cy="508000"/>
                    </a:xfrm>
                    <a:prstGeom prst="rect">
                      <a:avLst/>
                    </a:prstGeom>
                    <a:noFill/>
                    <a:ln>
                      <a:noFill/>
                    </a:ln>
                  </pic:spPr>
                </pic:pic>
              </a:graphicData>
            </a:graphic>
          </wp:anchor>
        </w:drawing>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2021年6月19日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02"/>
        <w:gridCol w:w="256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802"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567"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sz w:val="24"/>
              </w:rPr>
              <w:pict>
                <v:line id="_x0000_s2051" o:spid="_x0000_s2051" o:spt="20" style="position:absolute;left:0pt;flip:y;margin-left:12.1pt;margin-top:16.4pt;height:230pt;width:467.25pt;z-index:251663360;mso-width-relative:page;mso-height-relative:page;" fillcolor="#FFFFFF" filled="t" stroked="t" coordsize="21600,21600">
                  <v:path arrowok="t"/>
                  <v:fill on="t" color2="#FFFFFF" focussize="0,0"/>
                  <v:stroke color="#000000"/>
                  <v:imagedata o:title=""/>
                  <o:lock v:ext="edit" aspectratio="f"/>
                </v:line>
              </w:pict>
            </w:r>
          </w:p>
        </w:tc>
        <w:tc>
          <w:tcPr>
            <w:tcW w:w="4802"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p>
        </w:tc>
        <w:tc>
          <w:tcPr>
            <w:tcW w:w="2567" w:type="dxa"/>
            <w:vAlign w:val="center"/>
          </w:tcPr>
          <w:p>
            <w:pPr>
              <w:pStyle w:val="5"/>
              <w:pBdr>
                <w:bottom w:val="none" w:color="auto" w:sz="0" w:space="0"/>
              </w:pBdr>
              <w:ind w:right="600"/>
              <w:jc w:val="both"/>
              <w:rPr>
                <w:rFonts w:hint="default" w:eastAsia="宋体"/>
                <w:color w:val="000000"/>
                <w:sz w:val="32"/>
                <w:szCs w:val="32"/>
                <w:lang w:val="en-US" w:eastAsia="zh-CN"/>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802" w:type="dxa"/>
            <w:vAlign w:val="center"/>
          </w:tcPr>
          <w:p>
            <w:pPr>
              <w:pStyle w:val="5"/>
              <w:pBdr>
                <w:bottom w:val="none" w:color="auto" w:sz="0" w:space="0"/>
              </w:pBdr>
              <w:tabs>
                <w:tab w:val="center" w:pos="5737"/>
                <w:tab w:val="clear" w:pos="4153"/>
              </w:tabs>
              <w:jc w:val="both"/>
              <w:rPr>
                <w:color w:val="000000"/>
                <w:sz w:val="24"/>
                <w:szCs w:val="24"/>
              </w:rPr>
            </w:pPr>
          </w:p>
        </w:tc>
        <w:tc>
          <w:tcPr>
            <w:tcW w:w="2567"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802" w:type="dxa"/>
            <w:vAlign w:val="center"/>
          </w:tcPr>
          <w:p>
            <w:pPr>
              <w:pStyle w:val="5"/>
              <w:pBdr>
                <w:bottom w:val="none" w:color="auto" w:sz="0" w:space="0"/>
              </w:pBdr>
              <w:tabs>
                <w:tab w:val="center" w:pos="5737"/>
                <w:tab w:val="clear" w:pos="4153"/>
              </w:tabs>
              <w:jc w:val="both"/>
              <w:rPr>
                <w:color w:val="000000"/>
                <w:sz w:val="24"/>
                <w:szCs w:val="24"/>
              </w:rPr>
            </w:pPr>
          </w:p>
        </w:tc>
        <w:tc>
          <w:tcPr>
            <w:tcW w:w="2567"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4802" w:type="dxa"/>
            <w:vAlign w:val="center"/>
          </w:tcPr>
          <w:p>
            <w:pPr>
              <w:pStyle w:val="5"/>
              <w:pBdr>
                <w:bottom w:val="none" w:color="auto" w:sz="0" w:space="0"/>
              </w:pBdr>
              <w:tabs>
                <w:tab w:val="center" w:pos="5737"/>
                <w:tab w:val="clear" w:pos="4153"/>
              </w:tabs>
              <w:jc w:val="both"/>
              <w:rPr>
                <w:color w:val="000000"/>
                <w:sz w:val="24"/>
                <w:szCs w:val="24"/>
              </w:rPr>
            </w:pPr>
          </w:p>
        </w:tc>
        <w:tc>
          <w:tcPr>
            <w:tcW w:w="2567"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drawing>
                <wp:anchor distT="0" distB="0" distL="114300" distR="114300" simplePos="0" relativeHeight="251664384" behindDoc="0" locked="0" layoutInCell="1" allowOverlap="1">
                  <wp:simplePos x="0" y="0"/>
                  <wp:positionH relativeFrom="column">
                    <wp:posOffset>532765</wp:posOffset>
                  </wp:positionH>
                  <wp:positionV relativeFrom="paragraph">
                    <wp:posOffset>57785</wp:posOffset>
                  </wp:positionV>
                  <wp:extent cx="1156335" cy="467995"/>
                  <wp:effectExtent l="0" t="0" r="12065" b="190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2021.6.19</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ED1075"/>
    <w:rsid w:val="165C1549"/>
    <w:rsid w:val="19A86761"/>
    <w:rsid w:val="20952FC4"/>
    <w:rsid w:val="22BB3062"/>
    <w:rsid w:val="28AE110A"/>
    <w:rsid w:val="37DB7FB7"/>
    <w:rsid w:val="52DA20CC"/>
    <w:rsid w:val="5BFC61BD"/>
    <w:rsid w:val="6CD62711"/>
    <w:rsid w:val="72116A45"/>
    <w:rsid w:val="7CFF0D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jijie</cp:lastModifiedBy>
  <dcterms:modified xsi:type="dcterms:W3CDTF">2021-06-24T08:22:42Z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5F5AD1E83F14438FB35219DE97C1842B</vt:lpwstr>
  </property>
</Properties>
</file>