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李俐</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11</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Q(J):5.3(4.3)/6.1（12.3-5）、6.2(3.4)</w:t>
            </w:r>
          </w:p>
          <w:p>
            <w:pPr>
              <w:spacing w:line="300" w:lineRule="exact"/>
              <w:rPr>
                <w:rFonts w:ascii="宋体" w:hAnsi="宋体"/>
                <w:b/>
                <w:bCs/>
                <w:sz w:val="21"/>
                <w:szCs w:val="21"/>
              </w:rPr>
            </w:pPr>
            <w:r>
              <w:rPr>
                <w:rFonts w:hint="eastAsia" w:ascii="宋体" w:hAnsi="宋体"/>
                <w:b/>
                <w:bCs/>
                <w:sz w:val="21"/>
                <w:szCs w:val="21"/>
              </w:rPr>
              <w:t>/7.1.2(5.1-3)/7.2-7.3/(5.1-5.3)/7.4(10.5.4)/7.5(3.5)/9.1.3(12.1/12.2)/9.2(12.2)/10.2(12.3)；</w:t>
            </w:r>
          </w:p>
          <w:p>
            <w:pPr>
              <w:spacing w:line="300" w:lineRule="exact"/>
              <w:rPr>
                <w:rFonts w:hint="eastAsia" w:ascii="宋体" w:hAnsi="宋体"/>
                <w:b/>
                <w:bCs/>
                <w:sz w:val="21"/>
                <w:szCs w:val="21"/>
              </w:rPr>
            </w:pPr>
            <w:r>
              <w:rPr>
                <w:rFonts w:hint="eastAsia" w:ascii="宋体" w:hAnsi="宋体"/>
                <w:b/>
                <w:bCs/>
                <w:sz w:val="21"/>
                <w:szCs w:val="21"/>
              </w:rPr>
              <w:t>O:5.3/5.4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rPr>
              <w:t>Q5.3</w:t>
            </w:r>
          </w:p>
          <w:p>
            <w:pPr>
              <w:rPr>
                <w:color w:val="auto"/>
                <w:szCs w:val="21"/>
              </w:rPr>
            </w:pPr>
            <w:r>
              <w:rPr>
                <w:rFonts w:hint="eastAsia"/>
                <w:color w:val="auto"/>
                <w:szCs w:val="21"/>
              </w:rPr>
              <w:t>O5.4</w:t>
            </w:r>
          </w:p>
          <w:p>
            <w:pPr>
              <w:pStyle w:val="2"/>
              <w:rPr>
                <w:color w:val="auto"/>
              </w:rPr>
            </w:pPr>
            <w:r>
              <w:rPr>
                <w:rFonts w:hint="eastAsia"/>
                <w:color w:val="auto"/>
              </w:rPr>
              <w:t>J</w:t>
            </w:r>
            <w:r>
              <w:rPr>
                <w:color w:val="auto"/>
              </w:rPr>
              <w:t>4.3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w:t>
            </w:r>
            <w:r>
              <w:rPr>
                <w:rFonts w:hint="eastAsia"/>
                <w:szCs w:val="21"/>
                <w:lang w:val="en-US" w:eastAsia="zh-CN"/>
              </w:rPr>
              <w:t>O</w:t>
            </w:r>
            <w:r>
              <w:rPr>
                <w:rFonts w:hint="eastAsia"/>
                <w:szCs w:val="21"/>
              </w:rPr>
              <w:t>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指标及管理方案 </w:t>
            </w:r>
          </w:p>
          <w:p>
            <w:pPr>
              <w:ind w:firstLine="630" w:firstLineChars="300"/>
              <w:rPr>
                <w:rFonts w:ascii="宋体" w:hAnsi="宋体" w:cs="宋体"/>
                <w:szCs w:val="21"/>
              </w:rPr>
            </w:pPr>
            <w:r>
              <w:rPr>
                <w:rFonts w:hint="eastAsia" w:ascii="宋体" w:hAnsi="宋体" w:cs="宋体"/>
                <w:szCs w:val="21"/>
                <w:lang w:val="en-US" w:eastAsia="zh-CN"/>
              </w:rPr>
              <w:t>质量和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2020年9月-2021年3月）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p>
          <w:p>
            <w:pPr>
              <w:jc w:val="center"/>
              <w:rPr>
                <w:rFonts w:eastAsia="仿宋_GB2312"/>
                <w:b/>
                <w:bCs/>
                <w:szCs w:val="21"/>
              </w:rPr>
            </w:pPr>
            <w:r>
              <w:rPr>
                <w:rFonts w:hint="eastAsia" w:eastAsia="仿宋_GB2312"/>
                <w:b/>
                <w:bCs/>
                <w:szCs w:val="21"/>
              </w:rPr>
              <w:t>职业健康安全管理目标、指标及管理方案一览表</w:t>
            </w:r>
          </w:p>
          <w:tbl>
            <w:tblPr>
              <w:tblStyle w:val="8"/>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240" w:lineRule="atLeast"/>
                    <w:jc w:val="center"/>
                    <w:rPr>
                      <w:rFonts w:ascii="宋体" w:hAnsi="宋体"/>
                      <w:szCs w:val="21"/>
                    </w:rPr>
                  </w:pPr>
                  <w:r>
                    <w:rPr>
                      <w:rFonts w:hint="eastAsia" w:ascii="宋体" w:hAnsi="宋体"/>
                      <w:szCs w:val="21"/>
                    </w:rPr>
                    <w:t>序号</w:t>
                  </w:r>
                </w:p>
              </w:tc>
              <w:tc>
                <w:tcPr>
                  <w:tcW w:w="1614" w:type="dxa"/>
                  <w:vAlign w:val="center"/>
                </w:tcPr>
                <w:p>
                  <w:pPr>
                    <w:adjustRightInd w:val="0"/>
                    <w:snapToGrid w:val="0"/>
                    <w:spacing w:line="240" w:lineRule="atLeast"/>
                    <w:jc w:val="center"/>
                    <w:rPr>
                      <w:rFonts w:ascii="宋体" w:hAnsi="宋体"/>
                      <w:szCs w:val="21"/>
                    </w:rPr>
                  </w:pPr>
                  <w:r>
                    <w:rPr>
                      <w:rFonts w:hint="eastAsia" w:ascii="宋体" w:hAnsi="宋体"/>
                      <w:szCs w:val="21"/>
                    </w:rPr>
                    <w:t>重要健康安全 因素</w:t>
                  </w:r>
                </w:p>
              </w:tc>
              <w:tc>
                <w:tcPr>
                  <w:tcW w:w="1984" w:type="dxa"/>
                  <w:vAlign w:val="center"/>
                </w:tcPr>
                <w:p>
                  <w:pPr>
                    <w:adjustRightInd w:val="0"/>
                    <w:snapToGrid w:val="0"/>
                    <w:spacing w:line="240" w:lineRule="atLeast"/>
                    <w:jc w:val="center"/>
                    <w:rPr>
                      <w:rFonts w:ascii="宋体" w:hAnsi="宋体"/>
                      <w:szCs w:val="21"/>
                    </w:rPr>
                  </w:pPr>
                  <w:r>
                    <w:rPr>
                      <w:rFonts w:hint="eastAsia" w:ascii="宋体" w:hAnsi="宋体"/>
                      <w:szCs w:val="21"/>
                    </w:rPr>
                    <w:t>目标</w:t>
                  </w:r>
                </w:p>
              </w:tc>
              <w:tc>
                <w:tcPr>
                  <w:tcW w:w="2410" w:type="dxa"/>
                  <w:vAlign w:val="center"/>
                </w:tcPr>
                <w:p>
                  <w:pPr>
                    <w:adjustRightInd w:val="0"/>
                    <w:snapToGrid w:val="0"/>
                    <w:spacing w:line="240" w:lineRule="atLeast"/>
                    <w:jc w:val="center"/>
                    <w:rPr>
                      <w:rFonts w:ascii="宋体" w:hAnsi="宋体"/>
                      <w:szCs w:val="21"/>
                    </w:rPr>
                  </w:pPr>
                  <w:r>
                    <w:rPr>
                      <w:rFonts w:hint="eastAsia" w:ascii="宋体" w:hAnsi="宋体"/>
                      <w:szCs w:val="21"/>
                    </w:rPr>
                    <w:t>指标</w:t>
                  </w:r>
                </w:p>
              </w:tc>
              <w:tc>
                <w:tcPr>
                  <w:tcW w:w="4327" w:type="dxa"/>
                  <w:vAlign w:val="center"/>
                </w:tcPr>
                <w:p>
                  <w:pPr>
                    <w:adjustRightInd w:val="0"/>
                    <w:snapToGrid w:val="0"/>
                    <w:spacing w:line="240" w:lineRule="atLeast"/>
                    <w:jc w:val="center"/>
                    <w:rPr>
                      <w:rFonts w:ascii="宋体" w:hAnsi="宋体"/>
                      <w:szCs w:val="21"/>
                    </w:rPr>
                  </w:pPr>
                  <w:r>
                    <w:rPr>
                      <w:rFonts w:hint="eastAsia" w:ascii="宋体" w:hAnsi="宋体"/>
                      <w:szCs w:val="21"/>
                    </w:rPr>
                    <w:t>控制措施</w:t>
                  </w:r>
                </w:p>
              </w:tc>
              <w:tc>
                <w:tcPr>
                  <w:tcW w:w="1260" w:type="dxa"/>
                </w:tcPr>
                <w:p>
                  <w:pPr>
                    <w:rPr>
                      <w:rFonts w:ascii="宋体" w:hAnsi="宋体"/>
                      <w:szCs w:val="21"/>
                    </w:rPr>
                  </w:pPr>
                  <w:r>
                    <w:rPr>
                      <w:rFonts w:hint="eastAsia" w:ascii="宋体" w:hAnsi="宋体"/>
                      <w:szCs w:val="21"/>
                    </w:rPr>
                    <w:t>实施部门</w:t>
                  </w:r>
                </w:p>
              </w:tc>
              <w:tc>
                <w:tcPr>
                  <w:tcW w:w="1260" w:type="dxa"/>
                </w:tcPr>
                <w:p>
                  <w:pPr>
                    <w:rPr>
                      <w:rFonts w:ascii="宋体" w:hAnsi="宋体"/>
                      <w:szCs w:val="21"/>
                    </w:rPr>
                  </w:pPr>
                  <w:r>
                    <w:rPr>
                      <w:rFonts w:hint="eastAsia" w:ascii="宋体" w:hAnsi="宋体"/>
                      <w:szCs w:val="21"/>
                    </w:rPr>
                    <w:t>完成日期</w:t>
                  </w:r>
                </w:p>
              </w:tc>
              <w:tc>
                <w:tcPr>
                  <w:tcW w:w="1260" w:type="dxa"/>
                </w:tcPr>
                <w:p>
                  <w:pPr>
                    <w:rPr>
                      <w:rFonts w:ascii="宋体" w:hAnsi="宋体"/>
                      <w:szCs w:val="21"/>
                    </w:rPr>
                  </w:pPr>
                  <w:r>
                    <w:rPr>
                      <w:rFonts w:hint="eastAsia" w:ascii="宋体" w:hAnsi="宋体"/>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1</w:t>
                  </w:r>
                </w:p>
              </w:tc>
              <w:tc>
                <w:tcPr>
                  <w:tcW w:w="1614" w:type="dxa"/>
                  <w:vAlign w:val="center"/>
                </w:tcPr>
                <w:p>
                  <w:pPr>
                    <w:spacing w:line="0" w:lineRule="atLeast"/>
                    <w:rPr>
                      <w:rFonts w:ascii="宋体" w:hAnsi="宋体"/>
                      <w:szCs w:val="21"/>
                    </w:rPr>
                  </w:pPr>
                  <w:r>
                    <w:rPr>
                      <w:rFonts w:hint="eastAsia" w:ascii="宋体" w:hAnsi="宋体"/>
                      <w:szCs w:val="21"/>
                    </w:rPr>
                    <w:t>触电</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控制触电事故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vAlign w:val="center"/>
                </w:tcPr>
                <w:p>
                  <w:pPr>
                    <w:rPr>
                      <w:szCs w:val="21"/>
                    </w:rPr>
                  </w:pPr>
                  <w:r>
                    <w:rPr>
                      <w:rFonts w:hint="eastAsia"/>
                      <w:szCs w:val="21"/>
                    </w:rPr>
                    <w:t>1制定《电工操作规程》、</w:t>
                  </w:r>
                </w:p>
                <w:p>
                  <w:pPr>
                    <w:rPr>
                      <w:szCs w:val="21"/>
                    </w:rPr>
                  </w:pPr>
                  <w:r>
                    <w:rPr>
                      <w:rFonts w:hint="eastAsia"/>
                      <w:szCs w:val="21"/>
                    </w:rPr>
                    <w:t>2持证上岗</w:t>
                  </w:r>
                </w:p>
                <w:p>
                  <w:pPr>
                    <w:rPr>
                      <w:szCs w:val="21"/>
                    </w:rPr>
                  </w:pPr>
                  <w:r>
                    <w:rPr>
                      <w:rFonts w:hint="eastAsia"/>
                      <w:szCs w:val="21"/>
                    </w:rPr>
                    <w:t>3用电保护</w:t>
                  </w:r>
                </w:p>
                <w:p>
                  <w:pPr>
                    <w:rPr>
                      <w:szCs w:val="21"/>
                    </w:rPr>
                  </w:pPr>
                  <w:r>
                    <w:rPr>
                      <w:rFonts w:hint="eastAsia"/>
                      <w:szCs w:val="21"/>
                    </w:rPr>
                    <w:t>4安全教育</w:t>
                  </w:r>
                </w:p>
                <w:p>
                  <w:pPr>
                    <w:adjustRightInd w:val="0"/>
                    <w:snapToGrid w:val="0"/>
                    <w:spacing w:line="240" w:lineRule="atLeast"/>
                    <w:jc w:val="left"/>
                    <w:rPr>
                      <w:rFonts w:ascii="宋体" w:hAnsi="宋体"/>
                      <w:szCs w:val="21"/>
                    </w:rPr>
                  </w:pPr>
                  <w:r>
                    <w:rPr>
                      <w:rFonts w:hint="eastAsia"/>
                      <w:szCs w:val="21"/>
                    </w:rPr>
                    <w:t>5触电应急预案</w:t>
                  </w:r>
                </w:p>
              </w:tc>
              <w:tc>
                <w:tcPr>
                  <w:tcW w:w="1260"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ind w:firstLine="210" w:firstLineChars="100"/>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2</w:t>
                  </w:r>
                </w:p>
              </w:tc>
              <w:tc>
                <w:tcPr>
                  <w:tcW w:w="1614" w:type="dxa"/>
                  <w:vAlign w:val="center"/>
                </w:tcPr>
                <w:p>
                  <w:pPr>
                    <w:spacing w:line="0" w:lineRule="atLeast"/>
                    <w:rPr>
                      <w:rFonts w:ascii="宋体" w:hAnsi="宋体"/>
                      <w:szCs w:val="21"/>
                    </w:rPr>
                  </w:pPr>
                  <w:r>
                    <w:rPr>
                      <w:rFonts w:hint="eastAsia" w:ascii="宋体" w:hAnsi="宋体"/>
                      <w:szCs w:val="21"/>
                    </w:rPr>
                    <w:t>机械伤害</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控制机械伤害事故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1制定安全操作规程</w:t>
                  </w:r>
                </w:p>
                <w:p>
                  <w:pPr>
                    <w:rPr>
                      <w:szCs w:val="21"/>
                    </w:rPr>
                  </w:pPr>
                  <w:r>
                    <w:rPr>
                      <w:rFonts w:hint="eastAsia"/>
                      <w:szCs w:val="21"/>
                    </w:rPr>
                    <w:t>2加强安全教育</w:t>
                  </w:r>
                </w:p>
                <w:p>
                  <w:pPr>
                    <w:rPr>
                      <w:szCs w:val="21"/>
                    </w:rPr>
                  </w:pPr>
                  <w:r>
                    <w:rPr>
                      <w:rFonts w:hint="eastAsia"/>
                      <w:szCs w:val="21"/>
                    </w:rPr>
                    <w:t>3 机械设备维护保养</w:t>
                  </w:r>
                </w:p>
                <w:p>
                  <w:pPr>
                    <w:spacing w:line="280" w:lineRule="exact"/>
                    <w:rPr>
                      <w:rFonts w:ascii="宋体" w:hAnsi="宋体"/>
                      <w:szCs w:val="21"/>
                    </w:rPr>
                  </w:pPr>
                  <w:r>
                    <w:rPr>
                      <w:rFonts w:hint="eastAsia"/>
                      <w:szCs w:val="21"/>
                    </w:rPr>
                    <w:t>4正确使用劳保用品</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3</w:t>
                  </w:r>
                </w:p>
              </w:tc>
              <w:tc>
                <w:tcPr>
                  <w:tcW w:w="1614" w:type="dxa"/>
                  <w:vAlign w:val="center"/>
                </w:tcPr>
                <w:p>
                  <w:pPr>
                    <w:spacing w:line="0" w:lineRule="atLeast"/>
                    <w:rPr>
                      <w:rFonts w:ascii="宋体" w:hAnsi="宋体"/>
                      <w:szCs w:val="21"/>
                    </w:rPr>
                  </w:pPr>
                  <w:r>
                    <w:rPr>
                      <w:rFonts w:hint="eastAsia" w:ascii="宋体" w:hAnsi="宋体"/>
                      <w:szCs w:val="21"/>
                    </w:rPr>
                    <w:t>高处坠落</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控制高处坠落事故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1三宝四口防护</w:t>
                  </w:r>
                </w:p>
                <w:p>
                  <w:pPr>
                    <w:rPr>
                      <w:szCs w:val="21"/>
                    </w:rPr>
                  </w:pPr>
                  <w:r>
                    <w:rPr>
                      <w:rFonts w:hint="eastAsia"/>
                      <w:szCs w:val="21"/>
                    </w:rPr>
                    <w:t>2安全网</w:t>
                  </w:r>
                </w:p>
                <w:p>
                  <w:pPr>
                    <w:rPr>
                      <w:szCs w:val="21"/>
                    </w:rPr>
                  </w:pPr>
                  <w:r>
                    <w:rPr>
                      <w:rFonts w:hint="eastAsia"/>
                      <w:szCs w:val="21"/>
                    </w:rPr>
                    <w:t>3安全带、安全帽</w:t>
                  </w:r>
                </w:p>
                <w:p>
                  <w:pPr>
                    <w:spacing w:line="280" w:lineRule="exact"/>
                    <w:rPr>
                      <w:rFonts w:ascii="宋体" w:hAnsi="宋体"/>
                      <w:szCs w:val="21"/>
                    </w:rPr>
                  </w:pPr>
                  <w:r>
                    <w:rPr>
                      <w:rFonts w:hint="eastAsia"/>
                      <w:szCs w:val="21"/>
                    </w:rPr>
                    <w:t>4安全教育及检查</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21.4.4</w:t>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w:t>
            </w:r>
            <w:r>
              <w:rPr>
                <w:rFonts w:hint="eastAsia" w:ascii="宋体" w:hAnsi="宋体" w:cs="宋体"/>
                <w:szCs w:val="21"/>
              </w:rPr>
              <w:t>四度进行考核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highlight w:val="red"/>
              </w:rPr>
            </w:pPr>
            <w:r>
              <w:rPr>
                <w:rFonts w:hint="eastAsia"/>
                <w:szCs w:val="21"/>
              </w:rPr>
              <w:t>QO7.2</w:t>
            </w:r>
          </w:p>
          <w:p>
            <w:pPr>
              <w:pStyle w:val="2"/>
            </w:pPr>
            <w:r>
              <w:rPr>
                <w:rFonts w:hint="eastAsia"/>
              </w:rPr>
              <w:t>J</w:t>
            </w:r>
            <w:r>
              <w:t>5.1-5.3</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21.1.8</w:t>
            </w:r>
          </w:p>
          <w:p>
            <w:pPr>
              <w:pStyle w:val="3"/>
              <w:widowControl/>
              <w:ind w:firstLine="420" w:firstLineChars="200"/>
              <w:rPr>
                <w:rFonts w:hint="eastAsia"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20.9.7</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20.9.12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20.</w:t>
            </w:r>
            <w:r>
              <w:rPr>
                <w:rFonts w:hint="eastAsia"/>
                <w:color w:val="auto"/>
                <w:sz w:val="21"/>
                <w:szCs w:val="21"/>
                <w:lang w:val="en-US" w:eastAsia="zh-CN"/>
              </w:rPr>
              <w:t>9</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hint="eastAsia" w:ascii="Times New Roman" w:hAnsi="Times New Roman"/>
                <w:color w:val="auto"/>
                <w:sz w:val="21"/>
                <w:szCs w:val="21"/>
              </w:rPr>
            </w:pPr>
          </w:p>
          <w:p>
            <w:pPr>
              <w:pStyle w:val="3"/>
              <w:widowControl/>
              <w:rPr>
                <w:rFonts w:ascii="Times New Roman" w:hAnsi="Times New Roman"/>
                <w:color w:val="auto"/>
                <w:sz w:val="21"/>
                <w:szCs w:val="21"/>
              </w:rPr>
            </w:pPr>
            <w:bookmarkStart w:id="0" w:name="_GoBack"/>
            <w:bookmarkEnd w:id="0"/>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2020.10.10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3"/>
              <w:widowControl/>
              <w:ind w:firstLine="210" w:firstLineChars="100"/>
              <w:rPr>
                <w:rFonts w:hint="eastAsia" w:ascii="Times New Roman" w:hAnsi="Times New Roman"/>
                <w:sz w:val="21"/>
                <w:szCs w:val="21"/>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p>
          <w:p>
            <w:pPr>
              <w:pStyle w:val="3"/>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120650</wp:posOffset>
                  </wp:positionH>
                  <wp:positionV relativeFrom="paragraph">
                    <wp:posOffset>33020</wp:posOffset>
                  </wp:positionV>
                  <wp:extent cx="1607820" cy="2327275"/>
                  <wp:effectExtent l="0" t="0" r="5080" b="9525"/>
                  <wp:wrapNone/>
                  <wp:docPr id="4" name="图片 4" descr="高阿娜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阿娜二建"/>
                          <pic:cNvPicPr>
                            <a:picLocks noChangeAspect="1"/>
                          </pic:cNvPicPr>
                        </pic:nvPicPr>
                        <pic:blipFill>
                          <a:blip r:embed="rId6"/>
                          <a:stretch>
                            <a:fillRect/>
                          </a:stretch>
                        </pic:blipFill>
                        <pic:spPr>
                          <a:xfrm>
                            <a:off x="0" y="0"/>
                            <a:ext cx="1607820" cy="2327275"/>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4121150</wp:posOffset>
                  </wp:positionH>
                  <wp:positionV relativeFrom="paragraph">
                    <wp:posOffset>55880</wp:posOffset>
                  </wp:positionV>
                  <wp:extent cx="1613535" cy="2329180"/>
                  <wp:effectExtent l="0" t="0" r="12065" b="7620"/>
                  <wp:wrapNone/>
                  <wp:docPr id="6" name="图片 6" descr="王彩元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彩元二建"/>
                          <pic:cNvPicPr>
                            <a:picLocks noChangeAspect="1"/>
                          </pic:cNvPicPr>
                        </pic:nvPicPr>
                        <pic:blipFill>
                          <a:blip r:embed="rId7"/>
                          <a:stretch>
                            <a:fillRect/>
                          </a:stretch>
                        </pic:blipFill>
                        <pic:spPr>
                          <a:xfrm>
                            <a:off x="0" y="0"/>
                            <a:ext cx="1613535" cy="232918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2063750</wp:posOffset>
                  </wp:positionH>
                  <wp:positionV relativeFrom="paragraph">
                    <wp:posOffset>45720</wp:posOffset>
                  </wp:positionV>
                  <wp:extent cx="1607185" cy="2326640"/>
                  <wp:effectExtent l="0" t="0" r="5715" b="10160"/>
                  <wp:wrapNone/>
                  <wp:docPr id="5" name="图片 5" descr="高阿娜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阿娜B证"/>
                          <pic:cNvPicPr>
                            <a:picLocks noChangeAspect="1"/>
                          </pic:cNvPicPr>
                        </pic:nvPicPr>
                        <pic:blipFill>
                          <a:blip r:embed="rId8"/>
                          <a:stretch>
                            <a:fillRect/>
                          </a:stretch>
                        </pic:blipFill>
                        <pic:spPr>
                          <a:xfrm>
                            <a:off x="0" y="0"/>
                            <a:ext cx="1607185" cy="2326640"/>
                          </a:xfrm>
                          <a:prstGeom prst="rect">
                            <a:avLst/>
                          </a:prstGeom>
                        </pic:spPr>
                      </pic:pic>
                    </a:graphicData>
                  </a:graphic>
                </wp:anchor>
              </w:drawing>
            </w:r>
          </w:p>
          <w:p>
            <w:pPr>
              <w:rPr>
                <w:rFonts w:hint="eastAsia" w:eastAsia="宋体"/>
                <w:lang w:eastAsia="zh-CN"/>
              </w:rPr>
            </w:pPr>
          </w:p>
          <w:p/>
          <w:p/>
          <w:p/>
          <w:p/>
          <w:p/>
          <w:p/>
          <w:p/>
          <w:p/>
          <w:p/>
          <w:p/>
          <w:p>
            <w:pPr>
              <w:pStyle w:val="2"/>
              <w:rPr>
                <w:rFonts w:hint="eastAsia" w:eastAsia="宋体"/>
                <w:lang w:eastAsia="zh-CN"/>
              </w:rPr>
            </w:pPr>
          </w:p>
          <w:p>
            <w:pPr>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2120900</wp:posOffset>
                  </wp:positionH>
                  <wp:positionV relativeFrom="paragraph">
                    <wp:posOffset>-17145</wp:posOffset>
                  </wp:positionV>
                  <wp:extent cx="1603375" cy="2321560"/>
                  <wp:effectExtent l="0" t="0" r="9525" b="2540"/>
                  <wp:wrapNone/>
                  <wp:docPr id="9" name="图片 9" descr="张广学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张广学B证"/>
                          <pic:cNvPicPr>
                            <a:picLocks noChangeAspect="1"/>
                          </pic:cNvPicPr>
                        </pic:nvPicPr>
                        <pic:blipFill>
                          <a:blip r:embed="rId9"/>
                          <a:stretch>
                            <a:fillRect/>
                          </a:stretch>
                        </pic:blipFill>
                        <pic:spPr>
                          <a:xfrm>
                            <a:off x="0" y="0"/>
                            <a:ext cx="1603375" cy="2321560"/>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184150</wp:posOffset>
                  </wp:positionH>
                  <wp:positionV relativeFrom="paragraph">
                    <wp:posOffset>18415</wp:posOffset>
                  </wp:positionV>
                  <wp:extent cx="1548130" cy="2241550"/>
                  <wp:effectExtent l="0" t="0" r="1270" b="6350"/>
                  <wp:wrapNone/>
                  <wp:docPr id="8" name="图片 8" descr="张广学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张广学二建"/>
                          <pic:cNvPicPr>
                            <a:picLocks noChangeAspect="1"/>
                          </pic:cNvPicPr>
                        </pic:nvPicPr>
                        <pic:blipFill>
                          <a:blip r:embed="rId10"/>
                          <a:stretch>
                            <a:fillRect/>
                          </a:stretch>
                        </pic:blipFill>
                        <pic:spPr>
                          <a:xfrm>
                            <a:off x="0" y="0"/>
                            <a:ext cx="1548130" cy="224155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4203700</wp:posOffset>
                  </wp:positionH>
                  <wp:positionV relativeFrom="paragraph">
                    <wp:posOffset>-6985</wp:posOffset>
                  </wp:positionV>
                  <wp:extent cx="1667510" cy="2293620"/>
                  <wp:effectExtent l="0" t="0" r="8890" b="5080"/>
                  <wp:wrapNone/>
                  <wp:docPr id="7" name="图片 7" descr="王彩元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彩元B证"/>
                          <pic:cNvPicPr>
                            <a:picLocks noChangeAspect="1"/>
                          </pic:cNvPicPr>
                        </pic:nvPicPr>
                        <pic:blipFill>
                          <a:blip r:embed="rId11"/>
                          <a:stretch>
                            <a:fillRect/>
                          </a:stretch>
                        </pic:blipFill>
                        <pic:spPr>
                          <a:xfrm>
                            <a:off x="0" y="0"/>
                            <a:ext cx="1667510" cy="2293620"/>
                          </a:xfrm>
                          <a:prstGeom prst="rect">
                            <a:avLst/>
                          </a:prstGeom>
                        </pic:spPr>
                      </pic:pic>
                    </a:graphicData>
                  </a:graphic>
                </wp:anchor>
              </w:drawing>
            </w:r>
          </w:p>
          <w:p/>
          <w:p/>
          <w:p>
            <w:pPr>
              <w:pStyle w:val="2"/>
            </w:pPr>
          </w:p>
          <w:p>
            <w:pPr>
              <w:pStyle w:val="2"/>
            </w:pPr>
          </w:p>
          <w:p>
            <w:pPr>
              <w:pStyle w:val="2"/>
            </w:pPr>
          </w:p>
          <w:p/>
          <w:p/>
          <w:p/>
          <w:p/>
          <w:p/>
          <w:p>
            <w:pPr>
              <w:pStyle w:val="2"/>
            </w:pPr>
            <w:r>
              <w:rPr>
                <w:rFonts w:hint="eastAsia" w:eastAsia="宋体"/>
                <w:lang w:eastAsia="zh-CN"/>
              </w:rPr>
              <w:drawing>
                <wp:anchor distT="0" distB="0" distL="114300" distR="114300" simplePos="0" relativeHeight="251667456" behindDoc="0" locked="0" layoutInCell="1" allowOverlap="1">
                  <wp:simplePos x="0" y="0"/>
                  <wp:positionH relativeFrom="column">
                    <wp:posOffset>4438650</wp:posOffset>
                  </wp:positionH>
                  <wp:positionV relativeFrom="paragraph">
                    <wp:posOffset>110490</wp:posOffset>
                  </wp:positionV>
                  <wp:extent cx="2159000" cy="1388110"/>
                  <wp:effectExtent l="0" t="0" r="0" b="8890"/>
                  <wp:wrapNone/>
                  <wp:docPr id="12" name="图片 12" descr="祁佰忱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祁佰忱登高"/>
                          <pic:cNvPicPr>
                            <a:picLocks noChangeAspect="1"/>
                          </pic:cNvPicPr>
                        </pic:nvPicPr>
                        <pic:blipFill>
                          <a:blip r:embed="rId12"/>
                          <a:stretch>
                            <a:fillRect/>
                          </a:stretch>
                        </pic:blipFill>
                        <pic:spPr>
                          <a:xfrm>
                            <a:off x="0" y="0"/>
                            <a:ext cx="2159000" cy="1388110"/>
                          </a:xfrm>
                          <a:prstGeom prst="rect">
                            <a:avLst/>
                          </a:prstGeom>
                        </pic:spPr>
                      </pic:pic>
                    </a:graphicData>
                  </a:graphic>
                </wp:anchor>
              </w:drawing>
            </w:r>
            <w:r>
              <w:rPr>
                <w:rFonts w:hint="eastAsia" w:eastAsia="宋体"/>
                <w:lang w:eastAsia="zh-CN"/>
              </w:rPr>
              <w:drawing>
                <wp:anchor distT="0" distB="0" distL="114300" distR="114300" simplePos="0" relativeHeight="251666432" behindDoc="0" locked="0" layoutInCell="1" allowOverlap="1">
                  <wp:simplePos x="0" y="0"/>
                  <wp:positionH relativeFrom="column">
                    <wp:posOffset>2368550</wp:posOffset>
                  </wp:positionH>
                  <wp:positionV relativeFrom="paragraph">
                    <wp:posOffset>105410</wp:posOffset>
                  </wp:positionV>
                  <wp:extent cx="1965325" cy="1408430"/>
                  <wp:effectExtent l="0" t="0" r="3175" b="1270"/>
                  <wp:wrapNone/>
                  <wp:docPr id="11" name="图片 11" descr="冯富刚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冯富刚电工"/>
                          <pic:cNvPicPr>
                            <a:picLocks noChangeAspect="1"/>
                          </pic:cNvPicPr>
                        </pic:nvPicPr>
                        <pic:blipFill>
                          <a:blip r:embed="rId13"/>
                          <a:stretch>
                            <a:fillRect/>
                          </a:stretch>
                        </pic:blipFill>
                        <pic:spPr>
                          <a:xfrm>
                            <a:off x="0" y="0"/>
                            <a:ext cx="1965325" cy="1408430"/>
                          </a:xfrm>
                          <a:prstGeom prst="rect">
                            <a:avLst/>
                          </a:prstGeom>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12700</wp:posOffset>
                  </wp:positionH>
                  <wp:positionV relativeFrom="paragraph">
                    <wp:posOffset>85090</wp:posOffset>
                  </wp:positionV>
                  <wp:extent cx="2240280" cy="1442085"/>
                  <wp:effectExtent l="0" t="0" r="7620" b="5715"/>
                  <wp:wrapNone/>
                  <wp:docPr id="10" name="图片 10" descr="冯富刚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冯富刚登高"/>
                          <pic:cNvPicPr>
                            <a:picLocks noChangeAspect="1"/>
                          </pic:cNvPicPr>
                        </pic:nvPicPr>
                        <pic:blipFill>
                          <a:blip r:embed="rId14"/>
                          <a:stretch>
                            <a:fillRect/>
                          </a:stretch>
                        </pic:blipFill>
                        <pic:spPr>
                          <a:xfrm>
                            <a:off x="0" y="0"/>
                            <a:ext cx="2240280" cy="1442085"/>
                          </a:xfrm>
                          <a:prstGeom prst="rect">
                            <a:avLst/>
                          </a:prstGeom>
                        </pic:spPr>
                      </pic:pic>
                    </a:graphicData>
                  </a:graphic>
                </wp:anchor>
              </w:drawing>
            </w:r>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r>
              <w:rPr>
                <w:rFonts w:hint="eastAsia" w:eastAsia="宋体"/>
                <w:lang w:eastAsia="zh-CN"/>
              </w:rPr>
              <w:drawing>
                <wp:anchor distT="0" distB="0" distL="114300" distR="114300" simplePos="0" relativeHeight="251670528" behindDoc="0" locked="0" layoutInCell="1" allowOverlap="1">
                  <wp:simplePos x="0" y="0"/>
                  <wp:positionH relativeFrom="column">
                    <wp:posOffset>4584700</wp:posOffset>
                  </wp:positionH>
                  <wp:positionV relativeFrom="paragraph">
                    <wp:posOffset>138430</wp:posOffset>
                  </wp:positionV>
                  <wp:extent cx="2136140" cy="1439545"/>
                  <wp:effectExtent l="0" t="0" r="10160" b="8255"/>
                  <wp:wrapNone/>
                  <wp:docPr id="15" name="图片 15" descr="张广弟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张广弟电工"/>
                          <pic:cNvPicPr>
                            <a:picLocks noChangeAspect="1"/>
                          </pic:cNvPicPr>
                        </pic:nvPicPr>
                        <pic:blipFill>
                          <a:blip r:embed="rId15"/>
                          <a:stretch>
                            <a:fillRect/>
                          </a:stretch>
                        </pic:blipFill>
                        <pic:spPr>
                          <a:xfrm>
                            <a:off x="0" y="0"/>
                            <a:ext cx="2136140" cy="1439545"/>
                          </a:xfrm>
                          <a:prstGeom prst="rect">
                            <a:avLst/>
                          </a:prstGeom>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-25400</wp:posOffset>
                  </wp:positionH>
                  <wp:positionV relativeFrom="paragraph">
                    <wp:posOffset>144780</wp:posOffset>
                  </wp:positionV>
                  <wp:extent cx="2287270" cy="1499235"/>
                  <wp:effectExtent l="0" t="0" r="11430" b="12065"/>
                  <wp:wrapNone/>
                  <wp:docPr id="13" name="图片 13" descr="宋玉全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宋玉全登高"/>
                          <pic:cNvPicPr>
                            <a:picLocks noChangeAspect="1"/>
                          </pic:cNvPicPr>
                        </pic:nvPicPr>
                        <pic:blipFill>
                          <a:blip r:embed="rId16"/>
                          <a:stretch>
                            <a:fillRect/>
                          </a:stretch>
                        </pic:blipFill>
                        <pic:spPr>
                          <a:xfrm>
                            <a:off x="0" y="0"/>
                            <a:ext cx="2287270" cy="1499235"/>
                          </a:xfrm>
                          <a:prstGeom prst="rect">
                            <a:avLst/>
                          </a:prstGeom>
                        </pic:spPr>
                      </pic:pic>
                    </a:graphicData>
                  </a:graphic>
                </wp:anchor>
              </w:drawing>
            </w:r>
            <w:r>
              <w:rPr>
                <w:rFonts w:hint="eastAsia" w:eastAsia="宋体"/>
                <w:lang w:eastAsia="zh-CN"/>
              </w:rPr>
              <w:drawing>
                <wp:anchor distT="0" distB="0" distL="114300" distR="114300" simplePos="0" relativeHeight="251669504" behindDoc="0" locked="0" layoutInCell="1" allowOverlap="1">
                  <wp:simplePos x="0" y="0"/>
                  <wp:positionH relativeFrom="column">
                    <wp:posOffset>2336800</wp:posOffset>
                  </wp:positionH>
                  <wp:positionV relativeFrom="paragraph">
                    <wp:posOffset>135890</wp:posOffset>
                  </wp:positionV>
                  <wp:extent cx="2188845" cy="1487170"/>
                  <wp:effectExtent l="0" t="0" r="8255" b="11430"/>
                  <wp:wrapNone/>
                  <wp:docPr id="14" name="图片 14" descr="宋玉全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宋玉全电工"/>
                          <pic:cNvPicPr>
                            <a:picLocks noChangeAspect="1"/>
                          </pic:cNvPicPr>
                        </pic:nvPicPr>
                        <pic:blipFill>
                          <a:blip r:embed="rId17"/>
                          <a:stretch>
                            <a:fillRect/>
                          </a:stretch>
                        </pic:blipFill>
                        <pic:spPr>
                          <a:xfrm>
                            <a:off x="0" y="0"/>
                            <a:ext cx="2188845" cy="1487170"/>
                          </a:xfrm>
                          <a:prstGeom prst="rect">
                            <a:avLst/>
                          </a:prstGeom>
                        </pic:spPr>
                      </pic:pic>
                    </a:graphicData>
                  </a:graphic>
                </wp:anchor>
              </w:drawing>
            </w:r>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p>
          <w:p>
            <w:pPr>
              <w:pStyle w:val="2"/>
            </w:pPr>
          </w:p>
          <w:p>
            <w:pPr>
              <w:rPr>
                <w:rFonts w:hint="eastAsia" w:eastAsia="宋体"/>
                <w:lang w:val="en-US" w:eastAsia="zh-CN"/>
              </w:rPr>
            </w:pP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QO7.4</w:t>
            </w:r>
          </w:p>
          <w:p>
            <w:pPr>
              <w:rPr>
                <w:szCs w:val="21"/>
              </w:rPr>
            </w:pPr>
          </w:p>
          <w:p>
            <w:pPr>
              <w:pStyle w:val="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rPr>
                <w:szCs w:val="21"/>
              </w:rPr>
            </w:pPr>
            <w:r>
              <w:rPr>
                <w:rFonts w:hint="eastAsia"/>
                <w:szCs w:val="21"/>
              </w:rPr>
              <w:t>QEO7.5</w:t>
            </w:r>
          </w:p>
          <w:p>
            <w:pPr>
              <w:rPr>
                <w:szCs w:val="21"/>
              </w:rPr>
            </w:pPr>
            <w:r>
              <w:rPr>
                <w:rFonts w:hint="eastAsia"/>
                <w:szCs w:val="21"/>
              </w:rPr>
              <w:t>J</w:t>
            </w:r>
            <w:r>
              <w:rPr>
                <w:szCs w:val="21"/>
              </w:rPr>
              <w:t>3.5</w:t>
            </w:r>
          </w:p>
          <w:p>
            <w:pPr>
              <w:pStyle w:val="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20" w:lineRule="exact"/>
              <w:rPr>
                <w:rFonts w:ascii="宋体" w:hAnsi="宋体" w:cs="宋体"/>
                <w:szCs w:val="21"/>
              </w:rPr>
            </w:pPr>
            <w:r>
              <w:rPr>
                <w:rFonts w:hint="eastAsia" w:ascii="宋体" w:hAnsi="宋体" w:cs="宋体"/>
                <w:szCs w:val="21"/>
              </w:rPr>
              <w:t>2.方法：按部门/过程审核。提供了内审员</w:t>
            </w:r>
            <w:r>
              <w:rPr>
                <w:rFonts w:hint="eastAsia" w:ascii="宋体" w:hAnsi="宋体" w:cs="宋体"/>
                <w:szCs w:val="21"/>
                <w:lang w:val="en-US" w:eastAsia="zh-CN"/>
              </w:rPr>
              <w:t>马钰</w:t>
            </w:r>
            <w:r>
              <w:rPr>
                <w:rFonts w:hint="eastAsia" w:ascii="宋体" w:hAnsi="宋体" w:cs="宋体"/>
                <w:szCs w:val="21"/>
              </w:rPr>
              <w:t>、</w:t>
            </w:r>
            <w:r>
              <w:rPr>
                <w:rFonts w:hint="eastAsia"/>
                <w:spacing w:val="-8"/>
                <w:sz w:val="21"/>
              </w:rPr>
              <w:t>李佩佩</w:t>
            </w:r>
            <w:r>
              <w:rPr>
                <w:rFonts w:hint="eastAsia" w:ascii="宋体" w:hAnsi="宋体" w:cs="宋体"/>
                <w:szCs w:val="21"/>
              </w:rPr>
              <w:t xml:space="preserve">的任命书    </w:t>
            </w:r>
            <w:r>
              <w:rPr>
                <w:rFonts w:hint="eastAsia" w:ascii="宋体" w:hAnsi="宋体" w:cs="宋体"/>
                <w:szCs w:val="21"/>
                <w:lang w:val="en-US" w:eastAsia="zh-CN"/>
              </w:rPr>
              <w:t>祁佰忱</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月5日</w:t>
            </w:r>
          </w:p>
          <w:p>
            <w:pPr>
              <w:spacing w:line="320" w:lineRule="exact"/>
              <w:rPr>
                <w:rFonts w:ascii="宋体" w:hAnsi="宋体" w:cs="宋体"/>
                <w:szCs w:val="21"/>
              </w:rPr>
            </w:pPr>
            <w:r>
              <w:rPr>
                <w:rFonts w:hint="eastAsia" w:ascii="宋体" w:hAnsi="宋体" w:cs="宋体"/>
                <w:szCs w:val="21"/>
              </w:rPr>
              <w:t>3.职责：体系负责人组织内部审核活动。</w:t>
            </w:r>
          </w:p>
          <w:p>
            <w:pPr>
              <w:spacing w:line="320" w:lineRule="exact"/>
              <w:rPr>
                <w:rFonts w:ascii="宋体" w:hAnsi="宋体" w:cs="宋体"/>
                <w:szCs w:val="21"/>
              </w:rPr>
            </w:pPr>
            <w:r>
              <w:rPr>
                <w:rFonts w:hint="eastAsia" w:ascii="宋体" w:hAnsi="宋体" w:cs="宋体"/>
                <w:szCs w:val="21"/>
              </w:rPr>
              <w:t>4.策划要求：范围、准则、工作分配等。</w:t>
            </w:r>
          </w:p>
          <w:p>
            <w:pPr>
              <w:spacing w:line="32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20" w:lineRule="exact"/>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21</w:t>
            </w:r>
            <w:r>
              <w:rPr>
                <w:rFonts w:hint="eastAsia" w:ascii="宋体" w:hAnsi="宋体" w:cs="宋体"/>
                <w:szCs w:val="21"/>
              </w:rPr>
              <w:t>年内部审核实施计划》，计划内容有：目的、范围、审核准则、</w:t>
            </w:r>
            <w:r>
              <w:rPr>
                <w:sz w:val="21"/>
              </w:rPr>
              <w:t xml:space="preserve">编 制 ： </w:t>
            </w:r>
            <w:r>
              <w:rPr>
                <w:rFonts w:hint="eastAsia" w:ascii="宋体" w:hAnsi="宋体" w:cs="宋体"/>
                <w:szCs w:val="21"/>
                <w:lang w:val="en-US" w:eastAsia="zh-CN"/>
              </w:rPr>
              <w:t>马钰</w:t>
            </w:r>
            <w:r>
              <w:rPr>
                <w:rFonts w:hint="eastAsia"/>
                <w:sz w:val="21"/>
                <w:lang w:val="en-US" w:eastAsia="zh-CN"/>
              </w:rPr>
              <w:t xml:space="preserve"> </w:t>
            </w:r>
            <w:r>
              <w:rPr>
                <w:sz w:val="21"/>
              </w:rPr>
              <w:t xml:space="preserve"> 审 核 ： </w:t>
            </w:r>
            <w:r>
              <w:rPr>
                <w:rFonts w:hint="eastAsia" w:ascii="宋体" w:hAnsi="宋体" w:cs="宋体"/>
                <w:szCs w:val="21"/>
                <w:lang w:val="en-US" w:eastAsia="zh-CN"/>
              </w:rPr>
              <w:t>马钰</w:t>
            </w:r>
            <w:r>
              <w:rPr>
                <w:sz w:val="21"/>
              </w:rPr>
              <w:t xml:space="preserve"> 批 准 ： </w:t>
            </w:r>
            <w:r>
              <w:rPr>
                <w:rFonts w:hint="eastAsia"/>
                <w:sz w:val="21"/>
              </w:rPr>
              <w:t>祁佰忱</w:t>
            </w:r>
            <w:r>
              <w:rPr>
                <w:sz w:val="21"/>
              </w:rPr>
              <w:t xml:space="preserve"> </w:t>
            </w:r>
            <w:r>
              <w:rPr>
                <w:rFonts w:hint="eastAsia"/>
                <w:sz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月5日.   审核时间20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spacing w:line="320" w:lineRule="exact"/>
              <w:rPr>
                <w:rFonts w:ascii="宋体" w:hAnsi="宋体" w:cs="宋体"/>
                <w:szCs w:val="21"/>
              </w:rPr>
            </w:pPr>
            <w:r>
              <w:rPr>
                <w:rFonts w:hint="eastAsia" w:ascii="宋体" w:hAnsi="宋体" w:cs="宋体"/>
                <w:szCs w:val="21"/>
              </w:rPr>
              <w:t>提供了审核组名单：组长：</w:t>
            </w:r>
            <w:r>
              <w:rPr>
                <w:rFonts w:hint="eastAsia" w:ascii="宋体" w:hAnsi="宋体" w:cs="宋体"/>
                <w:szCs w:val="21"/>
                <w:lang w:val="en-US" w:eastAsia="zh-CN"/>
              </w:rPr>
              <w:t>马钰</w:t>
            </w:r>
            <w:r>
              <w:rPr>
                <w:rFonts w:hint="eastAsia" w:ascii="宋体" w:hAnsi="宋体" w:cs="宋体"/>
                <w:szCs w:val="21"/>
              </w:rPr>
              <w:t>（A）、组员：</w:t>
            </w:r>
            <w:r>
              <w:rPr>
                <w:rFonts w:hint="eastAsia"/>
                <w:spacing w:val="-8"/>
                <w:sz w:val="21"/>
              </w:rPr>
              <w:t>李佩佩</w:t>
            </w:r>
            <w:r>
              <w:rPr>
                <w:rFonts w:hint="eastAsia" w:ascii="宋体" w:hAnsi="宋体" w:cs="宋体"/>
                <w:szCs w:val="21"/>
              </w:rPr>
              <w:t>（B）审核范围：公司领导层、行政部、供销部、财务部、工程部等各部门。查全条款覆盖。</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360" w:lineRule="exact"/>
              <w:rPr>
                <w:rFonts w:ascii="宋体" w:hAnsi="宋体" w:cs="宋体"/>
                <w:bCs w:val="0"/>
                <w:spacing w:val="0"/>
                <w:sz w:val="21"/>
                <w:szCs w:val="21"/>
              </w:rPr>
            </w:pPr>
            <w:r>
              <w:rPr>
                <w:rFonts w:ascii="宋体" w:hAnsi="宋体" w:cs="宋体"/>
                <w:szCs w:val="21"/>
              </w:rPr>
              <w:t>6</w:t>
            </w:r>
            <w:r>
              <w:rPr>
                <w:rFonts w:hint="eastAsia" w:ascii="宋体" w:hAnsi="宋体" w:cs="宋体"/>
                <w:szCs w:val="21"/>
              </w:rPr>
              <w:t>.提供了《内审不合格报告》</w:t>
            </w: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审核结论：基本符合计划安排和标准的要求，并得到了较有效实施和保持， 仍需进一步改进。</w:t>
            </w:r>
            <w:r>
              <w:rPr>
                <w:rFonts w:hint="eastAsia"/>
                <w:szCs w:val="21"/>
              </w:rPr>
              <w:t>提供了内审员培训记录，审核员没有审核自己部门工作，具有独立性。</w:t>
            </w:r>
            <w:r>
              <w:rPr>
                <w:rFonts w:hint="eastAsia" w:ascii="宋体" w:hAnsi="宋体" w:cs="宋体"/>
                <w:szCs w:val="21"/>
              </w:rPr>
              <w:t xml:space="preserve">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ascii="宋体" w:hAnsi="宋体" w:cs="宋体"/>
                <w:szCs w:val="21"/>
                <w:lang w:val="en-US" w:eastAsia="zh-CN"/>
              </w:rPr>
              <w:t>马钰</w:t>
            </w:r>
            <w:r>
              <w:rPr>
                <w:rFonts w:hint="eastAsia" w:ascii="宋体" w:hAnsi="宋体" w:cs="宋体"/>
                <w:szCs w:val="21"/>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O9.1.1</w:t>
            </w:r>
          </w:p>
          <w:p>
            <w:pPr>
              <w:pStyle w:val="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2020年9月-12月。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9</w:t>
            </w:r>
            <w:r>
              <w:rPr>
                <w:rFonts w:hint="eastAsia"/>
                <w:bCs w:val="0"/>
                <w:spacing w:val="0"/>
                <w:sz w:val="21"/>
                <w:szCs w:val="21"/>
                <w:highlight w:val="none"/>
              </w:rPr>
              <w:t>日发放调查表共 5份，20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9</w:t>
            </w:r>
            <w:r>
              <w:rPr>
                <w:rFonts w:hint="eastAsia"/>
                <w:bCs w:val="0"/>
                <w:spacing w:val="0"/>
                <w:sz w:val="21"/>
                <w:szCs w:val="21"/>
                <w:highlight w:val="none"/>
              </w:rPr>
              <w:t>日回收调查表共</w:t>
            </w:r>
            <w:r>
              <w:rPr>
                <w:rFonts w:hint="eastAsia"/>
                <w:bCs w:val="0"/>
                <w:spacing w:val="0"/>
                <w:sz w:val="21"/>
                <w:szCs w:val="21"/>
                <w:highlight w:val="none"/>
                <w:lang w:val="en-US" w:eastAsia="zh-CN"/>
              </w:rPr>
              <w:t>3</w:t>
            </w:r>
            <w:r>
              <w:rPr>
                <w:rFonts w:hint="eastAsia"/>
                <w:bCs w:val="0"/>
                <w:spacing w:val="0"/>
                <w:sz w:val="21"/>
                <w:szCs w:val="21"/>
                <w:highlight w:val="none"/>
              </w:rPr>
              <w:t>份。</w:t>
            </w:r>
          </w:p>
          <w:p>
            <w:pPr>
              <w:pStyle w:val="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2"/>
              <w:spacing w:line="320" w:lineRule="exact"/>
              <w:rPr>
                <w:bCs w:val="0"/>
                <w:spacing w:val="0"/>
                <w:sz w:val="21"/>
                <w:szCs w:val="21"/>
                <w:highlight w:val="none"/>
              </w:rPr>
            </w:pPr>
            <w:r>
              <w:rPr>
                <w:rFonts w:hint="eastAsia"/>
                <w:bCs w:val="0"/>
                <w:spacing w:val="0"/>
                <w:sz w:val="21"/>
                <w:szCs w:val="21"/>
                <w:highlight w:val="none"/>
              </w:rPr>
              <w:t>调查分析：</w:t>
            </w:r>
          </w:p>
          <w:p>
            <w:pPr>
              <w:pStyle w:val="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2"/>
              <w:spacing w:line="320" w:lineRule="exact"/>
              <w:rPr>
                <w:bCs w:val="0"/>
                <w:spacing w:val="0"/>
                <w:sz w:val="21"/>
                <w:szCs w:val="21"/>
              </w:rPr>
            </w:pPr>
            <w:r>
              <w:rPr>
                <w:rFonts w:hint="eastAsia"/>
                <w:bCs w:val="0"/>
                <w:spacing w:val="0"/>
                <w:sz w:val="21"/>
                <w:szCs w:val="21"/>
                <w:highlight w:val="none"/>
              </w:rPr>
              <w:t>经计算顾客满意率为</w:t>
            </w:r>
            <w:r>
              <w:rPr>
                <w:rFonts w:hint="eastAsia"/>
                <w:bCs w:val="0"/>
                <w:spacing w:val="0"/>
                <w:sz w:val="21"/>
                <w:szCs w:val="21"/>
                <w:highlight w:val="none"/>
                <w:lang w:val="en-US" w:eastAsia="zh-CN"/>
              </w:rPr>
              <w:t>92分</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O</w:t>
            </w:r>
          </w:p>
          <w:p>
            <w:pPr>
              <w:rPr>
                <w:szCs w:val="21"/>
              </w:rPr>
            </w:pPr>
            <w:r>
              <w:rPr>
                <w:szCs w:val="21"/>
              </w:rPr>
              <w:t>10.</w:t>
            </w:r>
            <w:r>
              <w:rPr>
                <w:rFonts w:hint="eastAsia"/>
                <w:szCs w:val="21"/>
              </w:rPr>
              <w:t>2</w:t>
            </w:r>
          </w:p>
          <w:p>
            <w:pPr>
              <w:pStyle w:val="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w:t>
            </w:r>
            <w:r>
              <w:rPr>
                <w:rFonts w:hint="eastAsia" w:cs="Times New Roman"/>
                <w:bCs w:val="0"/>
                <w:spacing w:val="0"/>
                <w:sz w:val="21"/>
                <w:szCs w:val="21"/>
              </w:rPr>
              <w:t>改进措施：增加2名施工人员（由行政部实施，2021年7月31日前完成）。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郭力</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11</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E:5.3/5.4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pStyle w:val="2"/>
              <w:rPr>
                <w:color w:val="auto"/>
              </w:rPr>
            </w:pPr>
            <w:r>
              <w:rPr>
                <w:rFonts w:hint="eastAsia"/>
                <w:color w:val="auto"/>
                <w:szCs w:val="21"/>
                <w:lang w:val="en-US" w:eastAsia="zh-CN"/>
              </w:rPr>
              <w:t>E</w:t>
            </w:r>
            <w:r>
              <w:rPr>
                <w:rFonts w:hint="eastAsia"/>
                <w:color w:val="auto"/>
                <w:szCs w:val="21"/>
              </w:rPr>
              <w:t>5.3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val="en-US" w:eastAsia="zh-CN"/>
              </w:rPr>
              <w:t>E</w:t>
            </w:r>
            <w:r>
              <w:rPr>
                <w:rFonts w:hint="eastAsia"/>
                <w:szCs w:val="21"/>
              </w:rPr>
              <w:t>6.2</w:t>
            </w:r>
            <w:r>
              <w:rPr>
                <w:szCs w:val="21"/>
              </w:rPr>
              <w:t xml:space="preserve">  </w:t>
            </w:r>
          </w:p>
        </w:tc>
        <w:tc>
          <w:tcPr>
            <w:tcW w:w="10738" w:type="dxa"/>
            <w:vAlign w:val="center"/>
          </w:tcPr>
          <w:p>
            <w:pPr>
              <w:rPr>
                <w:rFonts w:ascii="宋体" w:hAnsi="宋体" w:cs="宋体"/>
                <w:szCs w:val="21"/>
              </w:rPr>
            </w:pPr>
            <w:r>
              <w:rPr>
                <w:rFonts w:hint="eastAsia" w:ascii="宋体" w:hAnsi="宋体" w:cs="宋体"/>
                <w:szCs w:val="21"/>
              </w:rPr>
              <w:t>提供：环境。职业健康安全目标展开表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环境和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2020年9月-2021年3月）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r>
              <w:rPr>
                <w:rFonts w:hint="eastAsia"/>
                <w:color w:val="000000"/>
                <w:szCs w:val="21"/>
              </w:rPr>
              <w:t xml:space="preserve">  </w:t>
            </w:r>
          </w:p>
          <w:p>
            <w:pPr>
              <w:jc w:val="center"/>
              <w:rPr>
                <w:rFonts w:eastAsia="仿宋_GB2312"/>
                <w:b/>
                <w:bCs/>
                <w:sz w:val="30"/>
              </w:rPr>
            </w:pPr>
            <w:r>
              <w:rPr>
                <w:rFonts w:hint="eastAsia" w:eastAsia="仿宋_GB2312"/>
                <w:b/>
                <w:bCs/>
                <w:sz w:val="30"/>
              </w:rPr>
              <w:t>环境管理目标、指标及管理方案</w:t>
            </w:r>
          </w:p>
          <w:tbl>
            <w:tblPr>
              <w:tblStyle w:val="8"/>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序号</w:t>
                  </w:r>
                </w:p>
              </w:tc>
              <w:tc>
                <w:tcPr>
                  <w:tcW w:w="1524"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重要环境因素</w:t>
                  </w:r>
                </w:p>
              </w:tc>
              <w:tc>
                <w:tcPr>
                  <w:tcW w:w="18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目标</w:t>
                  </w:r>
                </w:p>
              </w:tc>
              <w:tc>
                <w:tcPr>
                  <w:tcW w:w="1680"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指标</w:t>
                  </w:r>
                </w:p>
              </w:tc>
              <w:tc>
                <w:tcPr>
                  <w:tcW w:w="3402"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实施措施</w:t>
                  </w:r>
                </w:p>
              </w:tc>
              <w:tc>
                <w:tcPr>
                  <w:tcW w:w="1747" w:type="dxa"/>
                </w:tcPr>
                <w:p>
                  <w:pPr>
                    <w:rPr>
                      <w:rFonts w:ascii="宋体" w:hAnsi="宋体"/>
                      <w:color w:val="auto"/>
                      <w:szCs w:val="21"/>
                    </w:rPr>
                  </w:pPr>
                  <w:r>
                    <w:rPr>
                      <w:rFonts w:hint="eastAsia" w:ascii="宋体" w:hAnsi="宋体"/>
                      <w:color w:val="auto"/>
                      <w:szCs w:val="21"/>
                    </w:rPr>
                    <w:t>实施部门</w:t>
                  </w:r>
                </w:p>
              </w:tc>
              <w:tc>
                <w:tcPr>
                  <w:tcW w:w="1112" w:type="dxa"/>
                </w:tcPr>
                <w:p>
                  <w:pPr>
                    <w:rPr>
                      <w:rFonts w:ascii="宋体" w:hAnsi="宋体"/>
                      <w:color w:val="auto"/>
                      <w:szCs w:val="21"/>
                    </w:rPr>
                  </w:pPr>
                  <w:r>
                    <w:rPr>
                      <w:rFonts w:hint="eastAsia" w:ascii="宋体" w:hAnsi="宋体"/>
                      <w:color w:val="auto"/>
                      <w:szCs w:val="21"/>
                    </w:rPr>
                    <w:t>预计资金</w:t>
                  </w:r>
                </w:p>
              </w:tc>
              <w:tc>
                <w:tcPr>
                  <w:tcW w:w="1112" w:type="dxa"/>
                </w:tcPr>
                <w:p>
                  <w:pPr>
                    <w:rPr>
                      <w:rFonts w:ascii="宋体" w:hAnsi="宋体"/>
                      <w:color w:val="auto"/>
                      <w:szCs w:val="21"/>
                    </w:rPr>
                  </w:pPr>
                  <w:r>
                    <w:rPr>
                      <w:rFonts w:hint="eastAsia" w:ascii="宋体" w:hAnsi="宋体"/>
                      <w:color w:val="auto"/>
                      <w:szCs w:val="21"/>
                    </w:rPr>
                    <w:t>完成日期</w:t>
                  </w:r>
                </w:p>
              </w:tc>
              <w:tc>
                <w:tcPr>
                  <w:tcW w:w="1112" w:type="dxa"/>
                </w:tcPr>
                <w:p>
                  <w:pPr>
                    <w:rPr>
                      <w:rFonts w:ascii="宋体" w:hAnsi="宋体"/>
                      <w:color w:val="auto"/>
                      <w:szCs w:val="21"/>
                    </w:rPr>
                  </w:pPr>
                  <w:r>
                    <w:rPr>
                      <w:rFonts w:hint="eastAsia" w:ascii="宋体" w:hAnsi="宋体"/>
                      <w:color w:val="auto"/>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2</w:t>
                  </w:r>
                </w:p>
              </w:tc>
              <w:tc>
                <w:tcPr>
                  <w:tcW w:w="1524" w:type="dxa"/>
                  <w:vAlign w:val="center"/>
                </w:tcPr>
                <w:p>
                  <w:pPr>
                    <w:spacing w:line="0" w:lineRule="atLeast"/>
                    <w:rPr>
                      <w:color w:val="auto"/>
                      <w:szCs w:val="21"/>
                    </w:rPr>
                  </w:pPr>
                  <w:r>
                    <w:rPr>
                      <w:rFonts w:hint="eastAsia"/>
                      <w:color w:val="auto"/>
                      <w:szCs w:val="21"/>
                    </w:rPr>
                    <w:t>固废(含危废)排放</w:t>
                  </w:r>
                </w:p>
              </w:tc>
              <w:tc>
                <w:tcPr>
                  <w:tcW w:w="1876" w:type="dxa"/>
                  <w:vAlign w:val="center"/>
                </w:tcPr>
                <w:p>
                  <w:pPr>
                    <w:spacing w:line="0" w:lineRule="atLeast"/>
                    <w:jc w:val="left"/>
                    <w:rPr>
                      <w:color w:val="auto"/>
                      <w:szCs w:val="21"/>
                    </w:rPr>
                  </w:pPr>
                  <w:r>
                    <w:rPr>
                      <w:rFonts w:hint="eastAsia"/>
                      <w:color w:val="auto"/>
                      <w:szCs w:val="21"/>
                    </w:rPr>
                    <w:t xml:space="preserve"> </w:t>
                  </w:r>
                  <w:r>
                    <w:rPr>
                      <w:rFonts w:hint="eastAsia" w:ascii="宋体" w:hAnsi="宋体" w:cs="Arial"/>
                      <w:color w:val="auto"/>
                      <w:szCs w:val="21"/>
                    </w:rPr>
                    <w:t>控制</w:t>
                  </w:r>
                  <w:r>
                    <w:rPr>
                      <w:rFonts w:hint="eastAsia"/>
                      <w:color w:val="auto"/>
                      <w:szCs w:val="21"/>
                    </w:rPr>
                    <w:t>固废(含危废)排放</w:t>
                  </w:r>
                </w:p>
              </w:tc>
              <w:tc>
                <w:tcPr>
                  <w:tcW w:w="1680" w:type="dxa"/>
                  <w:vAlign w:val="center"/>
                </w:tcPr>
                <w:p>
                  <w:pPr>
                    <w:spacing w:line="0" w:lineRule="atLeast"/>
                    <w:rPr>
                      <w:color w:val="auto"/>
                      <w:szCs w:val="21"/>
                    </w:rPr>
                  </w:pPr>
                  <w:r>
                    <w:rPr>
                      <w:rFonts w:hint="eastAsia"/>
                      <w:color w:val="auto"/>
                      <w:szCs w:val="21"/>
                    </w:rPr>
                    <w:t>固废(含危废)有效回收率</w:t>
                  </w:r>
                  <w:r>
                    <w:rPr>
                      <w:color w:val="auto"/>
                      <w:szCs w:val="21"/>
                    </w:rPr>
                    <w:t>≥</w:t>
                  </w:r>
                  <w:r>
                    <w:rPr>
                      <w:rFonts w:hint="eastAsia"/>
                      <w:color w:val="auto"/>
                      <w:szCs w:val="21"/>
                    </w:rPr>
                    <w:t>95%</w:t>
                  </w:r>
                </w:p>
              </w:tc>
              <w:tc>
                <w:tcPr>
                  <w:tcW w:w="3402" w:type="dxa"/>
                </w:tcPr>
                <w:p>
                  <w:pPr>
                    <w:numPr>
                      <w:ilvl w:val="0"/>
                      <w:numId w:val="3"/>
                    </w:numPr>
                    <w:spacing w:line="300" w:lineRule="exact"/>
                    <w:rPr>
                      <w:color w:val="auto"/>
                      <w:szCs w:val="21"/>
                    </w:rPr>
                  </w:pPr>
                  <w:r>
                    <w:rPr>
                      <w:rFonts w:hint="eastAsia"/>
                      <w:color w:val="auto"/>
                      <w:szCs w:val="21"/>
                    </w:rPr>
                    <w:t>可再利用的物资进行回收</w:t>
                  </w:r>
                </w:p>
                <w:p>
                  <w:pPr>
                    <w:numPr>
                      <w:ilvl w:val="0"/>
                      <w:numId w:val="3"/>
                    </w:numPr>
                    <w:spacing w:line="300" w:lineRule="exact"/>
                    <w:rPr>
                      <w:color w:val="auto"/>
                      <w:szCs w:val="21"/>
                    </w:rPr>
                  </w:pPr>
                  <w:r>
                    <w:rPr>
                      <w:rFonts w:hint="eastAsia"/>
                      <w:color w:val="auto"/>
                      <w:szCs w:val="21"/>
                    </w:rPr>
                    <w:t>生活垃圾交环卫公司清运、处理</w:t>
                  </w:r>
                </w:p>
                <w:p>
                  <w:pPr>
                    <w:numPr>
                      <w:ilvl w:val="0"/>
                      <w:numId w:val="3"/>
                    </w:numPr>
                    <w:spacing w:line="300" w:lineRule="exact"/>
                    <w:rPr>
                      <w:rFonts w:ascii="宋体" w:hAnsi="宋体"/>
                      <w:color w:val="auto"/>
                      <w:szCs w:val="21"/>
                    </w:rPr>
                  </w:pPr>
                  <w:r>
                    <w:rPr>
                      <w:rFonts w:hint="eastAsia"/>
                      <w:color w:val="auto"/>
                      <w:szCs w:val="21"/>
                    </w:rPr>
                    <w:t>危险固废物交由有资质的单位处理</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3200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3</w:t>
                  </w:r>
                </w:p>
              </w:tc>
              <w:tc>
                <w:tcPr>
                  <w:tcW w:w="1524" w:type="dxa"/>
                  <w:vAlign w:val="center"/>
                </w:tcPr>
                <w:p>
                  <w:pPr>
                    <w:spacing w:line="0" w:lineRule="atLeast"/>
                    <w:rPr>
                      <w:rFonts w:ascii="宋体" w:hAnsi="宋体"/>
                      <w:color w:val="auto"/>
                      <w:szCs w:val="21"/>
                    </w:rPr>
                  </w:pPr>
                  <w:r>
                    <w:rPr>
                      <w:rFonts w:hint="eastAsia"/>
                      <w:color w:val="auto"/>
                      <w:szCs w:val="21"/>
                    </w:rPr>
                    <w:t>火灾爆炸</w:t>
                  </w:r>
                </w:p>
              </w:tc>
              <w:tc>
                <w:tcPr>
                  <w:tcW w:w="1876" w:type="dxa"/>
                  <w:vAlign w:val="center"/>
                </w:tcPr>
                <w:p>
                  <w:pPr>
                    <w:adjustRightInd w:val="0"/>
                    <w:snapToGrid w:val="0"/>
                    <w:spacing w:line="240" w:lineRule="atLeast"/>
                    <w:jc w:val="left"/>
                    <w:rPr>
                      <w:color w:val="auto"/>
                      <w:szCs w:val="21"/>
                    </w:rPr>
                  </w:pPr>
                  <w:r>
                    <w:rPr>
                      <w:rFonts w:hint="eastAsia" w:ascii="宋体" w:hAnsi="宋体"/>
                      <w:color w:val="auto"/>
                      <w:szCs w:val="21"/>
                    </w:rPr>
                    <w:t>控制火灾、爆炸事故</w:t>
                  </w:r>
                </w:p>
              </w:tc>
              <w:tc>
                <w:tcPr>
                  <w:tcW w:w="1680" w:type="dxa"/>
                  <w:vAlign w:val="center"/>
                </w:tcPr>
                <w:p>
                  <w:pPr>
                    <w:adjustRightInd w:val="0"/>
                    <w:snapToGrid w:val="0"/>
                    <w:spacing w:line="240" w:lineRule="atLeast"/>
                    <w:jc w:val="left"/>
                    <w:rPr>
                      <w:color w:val="auto"/>
                      <w:szCs w:val="21"/>
                    </w:rPr>
                  </w:pPr>
                  <w:r>
                    <w:rPr>
                      <w:rFonts w:hint="eastAsia" w:ascii="宋体" w:hAnsi="宋体"/>
                      <w:color w:val="auto"/>
                      <w:szCs w:val="21"/>
                    </w:rPr>
                    <w:t>重大火灾、爆炸事故为0</w:t>
                  </w:r>
                </w:p>
              </w:tc>
              <w:tc>
                <w:tcPr>
                  <w:tcW w:w="3402" w:type="dxa"/>
                </w:tcPr>
                <w:p>
                  <w:pPr>
                    <w:rPr>
                      <w:color w:val="auto"/>
                      <w:szCs w:val="21"/>
                    </w:rPr>
                  </w:pPr>
                  <w:r>
                    <w:rPr>
                      <w:rFonts w:hint="eastAsia"/>
                      <w:color w:val="auto"/>
                      <w:szCs w:val="21"/>
                    </w:rPr>
                    <w:t>1制定防火制度</w:t>
                  </w:r>
                </w:p>
                <w:p>
                  <w:pPr>
                    <w:rPr>
                      <w:color w:val="auto"/>
                      <w:szCs w:val="21"/>
                    </w:rPr>
                  </w:pPr>
                  <w:r>
                    <w:rPr>
                      <w:rFonts w:hint="eastAsia"/>
                      <w:color w:val="auto"/>
                      <w:szCs w:val="21"/>
                    </w:rPr>
                    <w:t>2配置消防</w:t>
                  </w:r>
                </w:p>
                <w:p>
                  <w:pPr>
                    <w:rPr>
                      <w:color w:val="auto"/>
                      <w:szCs w:val="21"/>
                    </w:rPr>
                  </w:pPr>
                  <w:r>
                    <w:rPr>
                      <w:rFonts w:hint="eastAsia"/>
                      <w:color w:val="auto"/>
                      <w:szCs w:val="21"/>
                    </w:rPr>
                    <w:t>3防火知识教育</w:t>
                  </w:r>
                </w:p>
                <w:p>
                  <w:pPr>
                    <w:rPr>
                      <w:color w:val="auto"/>
                      <w:szCs w:val="21"/>
                    </w:rPr>
                  </w:pPr>
                  <w:r>
                    <w:rPr>
                      <w:rFonts w:hint="eastAsia"/>
                      <w:color w:val="auto"/>
                      <w:szCs w:val="21"/>
                    </w:rPr>
                    <w:t>4氧气瓶、乙炔气瓶，油库等必须分类贮存，</w:t>
                  </w:r>
                </w:p>
                <w:p>
                  <w:pPr>
                    <w:spacing w:line="300" w:lineRule="exact"/>
                    <w:rPr>
                      <w:rFonts w:ascii="宋体" w:hAnsi="宋体"/>
                      <w:color w:val="auto"/>
                      <w:szCs w:val="21"/>
                    </w:rPr>
                  </w:pPr>
                  <w:r>
                    <w:rPr>
                      <w:rFonts w:hint="eastAsia"/>
                      <w:color w:val="auto"/>
                      <w:szCs w:val="21"/>
                    </w:rPr>
                    <w:t>5火灾爆炸应急预案</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 xml:space="preserve"> </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2300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21.4.4</w:t>
            </w:r>
          </w:p>
          <w:p>
            <w:pPr>
              <w:ind w:left="360"/>
              <w:rPr>
                <w:rFonts w:ascii="宋体" w:hAnsi="宋体" w:cs="宋体"/>
                <w:szCs w:val="21"/>
              </w:rPr>
            </w:pP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抽查2020年</w:t>
            </w:r>
            <w:r>
              <w:rPr>
                <w:rFonts w:hint="eastAsia" w:ascii="宋体" w:hAnsi="宋体" w:cs="宋体"/>
                <w:szCs w:val="21"/>
              </w:rPr>
              <w:t>四度进行考核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lang w:val="en-US" w:eastAsia="zh-CN"/>
              </w:rPr>
              <w:t>E</w:t>
            </w:r>
            <w:r>
              <w:rPr>
                <w:rFonts w:ascii="宋体" w:hAnsi="宋体" w:cs="宋体"/>
                <w:szCs w:val="21"/>
              </w:rPr>
              <w:t>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pStyle w:val="2"/>
            </w:pPr>
            <w:r>
              <w:rPr>
                <w:rFonts w:hint="eastAsia"/>
                <w:szCs w:val="21"/>
              </w:rPr>
              <w:t>E</w:t>
            </w:r>
            <w:r>
              <w:rPr>
                <w:szCs w:val="21"/>
              </w:rPr>
              <w:t>7.1</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21.1.8</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20.9.7</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20.9.12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20.</w:t>
            </w:r>
            <w:r>
              <w:rPr>
                <w:rFonts w:hint="eastAsia"/>
                <w:color w:val="auto"/>
                <w:sz w:val="21"/>
                <w:szCs w:val="21"/>
                <w:lang w:val="en-US" w:eastAsia="zh-CN"/>
              </w:rPr>
              <w:t>9</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ascii="Times New Roman" w:hAnsi="Times New Roman"/>
                <w:color w:val="auto"/>
                <w:sz w:val="21"/>
                <w:szCs w:val="21"/>
              </w:rPr>
            </w:pPr>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2020.10.10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rPr>
                <w:rFonts w:hint="eastAsia" w:eastAsia="宋体"/>
                <w:lang w:val="en-US" w:eastAsia="zh-CN"/>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pStyle w:val="2"/>
            </w:pPr>
            <w:r>
              <w:rPr>
                <w:rFonts w:hint="eastAsia"/>
                <w:szCs w:val="21"/>
                <w:lang w:val="en-US" w:eastAsia="zh-CN"/>
              </w:rPr>
              <w:t>E</w:t>
            </w:r>
            <w:r>
              <w:rPr>
                <w:rFonts w:hint="eastAsia"/>
                <w:szCs w:val="21"/>
              </w:rPr>
              <w:t>7.4</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pStyle w:val="2"/>
              <w:rPr>
                <w:bCs w:val="0"/>
                <w:spacing w:val="0"/>
                <w:sz w:val="21"/>
                <w:szCs w:val="21"/>
              </w:rPr>
            </w:pPr>
            <w:r>
              <w:rPr>
                <w:bCs w:val="0"/>
                <w:spacing w:val="0"/>
                <w:sz w:val="21"/>
                <w:szCs w:val="21"/>
              </w:rPr>
              <w:t>E7.1</w:t>
            </w:r>
          </w:p>
          <w:p>
            <w:pPr>
              <w:pStyle w:val="2"/>
              <w:rPr>
                <w:bCs w:val="0"/>
                <w:spacing w:val="0"/>
                <w:sz w:val="21"/>
                <w:szCs w:val="21"/>
              </w:rPr>
            </w:pPr>
            <w:r>
              <w:rPr>
                <w:rFonts w:hint="eastAsia"/>
                <w:szCs w:val="21"/>
              </w:rPr>
              <w:t>E7.5</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pStyle w:val="2"/>
            </w:pPr>
            <w:r>
              <w:rPr>
                <w:rFonts w:hint="eastAsia"/>
                <w:szCs w:val="21"/>
                <w:lang w:val="en-US" w:eastAsia="zh-CN"/>
              </w:rPr>
              <w:t>E</w:t>
            </w:r>
            <w:r>
              <w:rPr>
                <w:rFonts w:hint="eastAsia"/>
                <w:szCs w:val="21"/>
              </w:rPr>
              <w:t>9.1.1</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2020年9月-12月。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pStyle w:val="2"/>
              <w:rPr>
                <w:bCs w:val="0"/>
                <w:spacing w:val="0"/>
                <w:sz w:val="21"/>
                <w:szCs w:val="21"/>
              </w:rPr>
            </w:pPr>
            <w:r>
              <w:rPr>
                <w:rFonts w:hint="eastAsia"/>
                <w:szCs w:val="21"/>
                <w:lang w:val="en-US" w:eastAsia="zh-CN"/>
              </w:rPr>
              <w:t>E</w:t>
            </w:r>
            <w:r>
              <w:rPr>
                <w:szCs w:val="21"/>
              </w:rPr>
              <w:t>10.</w:t>
            </w:r>
            <w:r>
              <w:rPr>
                <w:rFonts w:hint="eastAsia"/>
                <w:szCs w:val="21"/>
              </w:rPr>
              <w:t>2</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w:t>
            </w:r>
            <w:r>
              <w:rPr>
                <w:rFonts w:hint="eastAsia" w:cs="Times New Roman"/>
                <w:bCs w:val="0"/>
                <w:spacing w:val="0"/>
                <w:sz w:val="21"/>
                <w:szCs w:val="21"/>
              </w:rPr>
              <w:t>改进措施：增加2名施工人员（由行政部实施，2021年7月31日前完成）。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AD6CD2"/>
    <w:rsid w:val="03F14820"/>
    <w:rsid w:val="04D07BD9"/>
    <w:rsid w:val="076457C2"/>
    <w:rsid w:val="08386885"/>
    <w:rsid w:val="0BFD6891"/>
    <w:rsid w:val="0D627438"/>
    <w:rsid w:val="111433D0"/>
    <w:rsid w:val="13590200"/>
    <w:rsid w:val="136D0DE2"/>
    <w:rsid w:val="14004993"/>
    <w:rsid w:val="1486164E"/>
    <w:rsid w:val="15A27DF9"/>
    <w:rsid w:val="17492E57"/>
    <w:rsid w:val="174A79E2"/>
    <w:rsid w:val="191A6F31"/>
    <w:rsid w:val="1A4E2EA6"/>
    <w:rsid w:val="1A59617F"/>
    <w:rsid w:val="1CF771A0"/>
    <w:rsid w:val="2705262C"/>
    <w:rsid w:val="279213AC"/>
    <w:rsid w:val="2FDD53C3"/>
    <w:rsid w:val="2FE9375E"/>
    <w:rsid w:val="302149C7"/>
    <w:rsid w:val="304D7612"/>
    <w:rsid w:val="34396F5A"/>
    <w:rsid w:val="34A578D5"/>
    <w:rsid w:val="39E04C28"/>
    <w:rsid w:val="3DAE3F21"/>
    <w:rsid w:val="3FDF12AB"/>
    <w:rsid w:val="403A0D6F"/>
    <w:rsid w:val="44B371BE"/>
    <w:rsid w:val="44F00F7B"/>
    <w:rsid w:val="46DE4F50"/>
    <w:rsid w:val="4AE23D5A"/>
    <w:rsid w:val="4DB77FFA"/>
    <w:rsid w:val="4E5E1BCD"/>
    <w:rsid w:val="4F001150"/>
    <w:rsid w:val="51DE31AD"/>
    <w:rsid w:val="51E94752"/>
    <w:rsid w:val="52315D8D"/>
    <w:rsid w:val="542415F8"/>
    <w:rsid w:val="57133671"/>
    <w:rsid w:val="59C21DD4"/>
    <w:rsid w:val="5B395FC4"/>
    <w:rsid w:val="5CDF5D61"/>
    <w:rsid w:val="5D33565E"/>
    <w:rsid w:val="64B9627E"/>
    <w:rsid w:val="663B03D2"/>
    <w:rsid w:val="697D3EFC"/>
    <w:rsid w:val="6ADA3C5B"/>
    <w:rsid w:val="6F2E2B73"/>
    <w:rsid w:val="71291A77"/>
    <w:rsid w:val="730D2E01"/>
    <w:rsid w:val="781F3D92"/>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2021-06-16T05:59:29Z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AE53D29A71094B5CAA6147EBA09ACE5C</vt:lpwstr>
  </property>
</Properties>
</file>