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山西得中电气有限公司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Shanxi Dezhong Electric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山西综改示范区太原学府园区电商街8号合创办公楼301室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030000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301, joint office building, No. 8, E-commerce Street, Taiyuan University Park, Shanxi comprehensive reform demonstration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山西省太原市万柏林区龙头公寓西侧五层</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030000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Fifth Floor, West Side of Longtou apartment, Wanberlin district, Taiyuan, Shanxi Province</w:t>
      </w:r>
    </w:p>
    <w:p>
      <w:pPr>
        <w:pStyle w:val="2"/>
        <w:spacing w:line="400" w:lineRule="exact"/>
        <w:ind w:firstLine="0"/>
        <w:rPr>
          <w:b/>
          <w:color w:val="000000" w:themeColor="text1"/>
          <w:sz w:val="22"/>
          <w:szCs w:val="22"/>
          <w:u w:val="single"/>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91149900MA0HM7J96Y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18135144190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张峰彬</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王荣刚</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Q：高低压成套设备、自动化控制设备的设计、销售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E：高低压成套设备、自动化控制设备的设计、销售所涉及场所的相关环境管理活动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O：高低压成套设备、自动化控制设备的设计、销售所涉及场所的相关职业健康安全管理活动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High and low voltage complete sets of equipment, automation control equipment design,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17"/>
          <w:szCs w:val="17"/>
          <w:shd w:val="clear" w:fill="F5F5F5"/>
        </w:rPr>
        <w:t>High and low voltage complete sets of equipment, AUTOMATION CONTROL EQUIPMENT DESIGN, sales related to the site of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17"/>
          <w:szCs w:val="17"/>
          <w:shd w:val="clear" w:fill="F5F5F5"/>
        </w:rPr>
        <w:t>High and low voltage complete sets of equipment, AUTOMATION CONTROL EQUIPMENT DESIGN, sales related to the site of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2021.7.8</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2021.7.8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4B3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2021-07-09T13:36:50Z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A10070609FA445BA851915EEBF70F0A4</vt:lpwstr>
  </property>
</Properties>
</file>