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7"/>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1012"/>
        <w:gridCol w:w="10642"/>
        <w:gridCol w:w="8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12"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642" w:type="dxa"/>
            <w:vAlign w:val="center"/>
          </w:tcPr>
          <w:p>
            <w:pPr>
              <w:rPr>
                <w:rFonts w:hint="default" w:eastAsia="宋体"/>
                <w:sz w:val="24"/>
                <w:szCs w:val="24"/>
                <w:lang w:val="en-US" w:eastAsia="zh-CN"/>
              </w:rPr>
            </w:pPr>
            <w:r>
              <w:rPr>
                <w:rFonts w:hint="eastAsia"/>
                <w:sz w:val="24"/>
                <w:szCs w:val="24"/>
              </w:rPr>
              <w:t xml:space="preserve">受审核部门：管理层 </w:t>
            </w:r>
            <w:r>
              <w:rPr>
                <w:sz w:val="24"/>
                <w:szCs w:val="24"/>
              </w:rPr>
              <w:t xml:space="preserve">   </w:t>
            </w:r>
            <w:r>
              <w:rPr>
                <w:rFonts w:hint="eastAsia"/>
                <w:sz w:val="24"/>
                <w:szCs w:val="24"/>
              </w:rPr>
              <w:t>总</w:t>
            </w:r>
            <w:r>
              <w:rPr>
                <w:rFonts w:hint="eastAsia"/>
                <w:sz w:val="24"/>
                <w:szCs w:val="24"/>
                <w:lang w:val="en-US" w:eastAsia="zh-CN"/>
              </w:rPr>
              <w:t>经理</w:t>
            </w:r>
            <w:r>
              <w:rPr>
                <w:rFonts w:hint="eastAsia"/>
                <w:sz w:val="24"/>
                <w:szCs w:val="24"/>
              </w:rPr>
              <w:t>：</w:t>
            </w:r>
            <w:r>
              <w:rPr>
                <w:rFonts w:hint="eastAsia"/>
                <w:sz w:val="24"/>
                <w:szCs w:val="24"/>
                <w:lang w:val="en-US" w:eastAsia="zh-CN"/>
              </w:rPr>
              <w:t xml:space="preserve">张峰彬 </w:t>
            </w:r>
            <w:r>
              <w:rPr>
                <w:rFonts w:hint="default"/>
                <w:sz w:val="24"/>
                <w:szCs w:val="24"/>
              </w:rPr>
              <w:t xml:space="preserve">  </w:t>
            </w:r>
            <w:r>
              <w:rPr>
                <w:rFonts w:hint="eastAsia"/>
                <w:sz w:val="24"/>
                <w:szCs w:val="24"/>
              </w:rPr>
              <w:t>管代：</w:t>
            </w:r>
            <w:r>
              <w:rPr>
                <w:rFonts w:hint="eastAsia"/>
                <w:sz w:val="24"/>
                <w:szCs w:val="24"/>
                <w:lang w:val="en-US" w:eastAsia="zh-CN"/>
              </w:rPr>
              <w:t>王荣刚</w:t>
            </w:r>
            <w:r>
              <w:rPr>
                <w:sz w:val="24"/>
                <w:szCs w:val="24"/>
              </w:rPr>
              <w:t xml:space="preserve">  </w:t>
            </w:r>
            <w:r>
              <w:rPr>
                <w:rFonts w:hint="eastAsia"/>
                <w:sz w:val="24"/>
                <w:szCs w:val="24"/>
                <w:lang w:val="en-US" w:eastAsia="zh-CN"/>
              </w:rPr>
              <w:t xml:space="preserve"> </w:t>
            </w:r>
          </w:p>
        </w:tc>
        <w:tc>
          <w:tcPr>
            <w:tcW w:w="89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1012" w:type="dxa"/>
            <w:vMerge w:val="continue"/>
            <w:vAlign w:val="center"/>
          </w:tcPr>
          <w:p/>
        </w:tc>
        <w:tc>
          <w:tcPr>
            <w:tcW w:w="10642" w:type="dxa"/>
            <w:vAlign w:val="center"/>
          </w:tcPr>
          <w:p>
            <w:pPr>
              <w:rPr>
                <w:sz w:val="24"/>
                <w:szCs w:val="24"/>
              </w:rPr>
            </w:pPr>
            <w:r>
              <w:rPr>
                <w:rFonts w:hint="eastAsia"/>
                <w:sz w:val="24"/>
                <w:szCs w:val="24"/>
              </w:rPr>
              <w:t>审核员：</w:t>
            </w:r>
            <w:r>
              <w:rPr>
                <w:rFonts w:hint="eastAsia"/>
                <w:sz w:val="24"/>
                <w:szCs w:val="24"/>
                <w:lang w:val="en-US" w:eastAsia="zh-CN"/>
              </w:rPr>
              <w:t>温红玲</w:t>
            </w:r>
            <w:r>
              <w:rPr>
                <w:rFonts w:hint="eastAsia"/>
                <w:sz w:val="24"/>
                <w:szCs w:val="24"/>
              </w:rPr>
              <w:t xml:space="preserve"> </w:t>
            </w:r>
            <w:r>
              <w:rPr>
                <w:sz w:val="24"/>
                <w:szCs w:val="24"/>
              </w:rPr>
              <w:t xml:space="preserve">  </w:t>
            </w:r>
            <w:r>
              <w:rPr>
                <w:rFonts w:hint="eastAsia"/>
                <w:sz w:val="24"/>
                <w:szCs w:val="24"/>
              </w:rPr>
              <w:t xml:space="preserve">        </w:t>
            </w:r>
            <w:r>
              <w:rPr>
                <w:rFonts w:hint="eastAsia"/>
                <w:sz w:val="24"/>
                <w:szCs w:val="24"/>
                <w:lang w:val="en-US" w:eastAsia="zh-CN"/>
              </w:rPr>
              <w:t xml:space="preserve">                           </w:t>
            </w:r>
            <w:r>
              <w:rPr>
                <w:rFonts w:hint="eastAsia"/>
                <w:sz w:val="24"/>
                <w:szCs w:val="24"/>
              </w:rPr>
              <w:t>审核时间：20</w:t>
            </w:r>
            <w:r>
              <w:rPr>
                <w:sz w:val="24"/>
                <w:szCs w:val="24"/>
              </w:rPr>
              <w:t>21</w:t>
            </w:r>
            <w:r>
              <w:rPr>
                <w:rFonts w:hint="eastAsia"/>
                <w:sz w:val="24"/>
                <w:szCs w:val="24"/>
              </w:rPr>
              <w:t>年</w:t>
            </w:r>
            <w:r>
              <w:rPr>
                <w:rFonts w:hint="eastAsia"/>
                <w:sz w:val="24"/>
                <w:szCs w:val="24"/>
                <w:lang w:val="en-US" w:eastAsia="zh-CN"/>
              </w:rPr>
              <w:t>7</w:t>
            </w:r>
            <w:r>
              <w:rPr>
                <w:rFonts w:hint="eastAsia"/>
                <w:sz w:val="24"/>
                <w:szCs w:val="24"/>
              </w:rPr>
              <w:t>月</w:t>
            </w:r>
            <w:r>
              <w:rPr>
                <w:rFonts w:hint="eastAsia"/>
                <w:sz w:val="24"/>
                <w:szCs w:val="24"/>
                <w:lang w:val="en-US" w:eastAsia="zh-CN"/>
              </w:rPr>
              <w:t>7</w:t>
            </w:r>
            <w:r>
              <w:rPr>
                <w:rFonts w:hint="eastAsia"/>
                <w:sz w:val="24"/>
                <w:szCs w:val="24"/>
              </w:rPr>
              <w:t>日</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1012" w:type="dxa"/>
            <w:vMerge w:val="continue"/>
            <w:vAlign w:val="center"/>
          </w:tcPr>
          <w:p/>
        </w:tc>
        <w:tc>
          <w:tcPr>
            <w:tcW w:w="10642" w:type="dxa"/>
            <w:vAlign w:val="center"/>
          </w:tcPr>
          <w:p>
            <w:pPr>
              <w:pStyle w:val="2"/>
              <w:rPr>
                <w:rFonts w:hint="eastAsia" w:ascii="Arial" w:hAnsi="Arial" w:eastAsia="宋体" w:cs="Arial"/>
                <w:bCs w:val="0"/>
                <w:spacing w:val="0"/>
                <w:kern w:val="2"/>
                <w:sz w:val="21"/>
                <w:szCs w:val="22"/>
                <w:lang w:val="en-US" w:eastAsia="zh-CN" w:bidi="ar-SA"/>
              </w:rPr>
            </w:pPr>
            <w:r>
              <w:rPr>
                <w:rFonts w:hint="eastAsia" w:ascii="Arial" w:hAnsi="Arial" w:eastAsia="宋体" w:cs="Arial"/>
                <w:bCs w:val="0"/>
                <w:spacing w:val="0"/>
                <w:kern w:val="2"/>
                <w:sz w:val="21"/>
                <w:szCs w:val="22"/>
                <w:lang w:val="en-US" w:eastAsia="zh-CN" w:bidi="ar-SA"/>
              </w:rPr>
              <w:t>审核条款：QE4.1/4.2/4.3/4.4/5.1/5.2/5.3/6.1</w:t>
            </w:r>
            <w:r>
              <w:rPr>
                <w:rFonts w:hint="eastAsia" w:ascii="Arial" w:hAnsi="Arial" w:cs="Arial"/>
                <w:bCs w:val="0"/>
                <w:spacing w:val="0"/>
                <w:kern w:val="2"/>
                <w:sz w:val="21"/>
                <w:szCs w:val="22"/>
                <w:lang w:val="en-US" w:eastAsia="zh-CN" w:bidi="ar-SA"/>
              </w:rPr>
              <w:t>.1/6.1.4</w:t>
            </w:r>
            <w:r>
              <w:rPr>
                <w:rFonts w:hint="eastAsia" w:ascii="Arial" w:hAnsi="Arial" w:eastAsia="宋体" w:cs="Arial"/>
                <w:bCs w:val="0"/>
                <w:spacing w:val="0"/>
                <w:kern w:val="2"/>
                <w:sz w:val="21"/>
                <w:szCs w:val="22"/>
                <w:lang w:val="en-US" w:eastAsia="zh-CN" w:bidi="ar-SA"/>
              </w:rPr>
              <w:t>/6.2/7.1</w:t>
            </w:r>
            <w:r>
              <w:rPr>
                <w:rFonts w:hint="eastAsia" w:ascii="Arial" w:hAnsi="Arial" w:eastAsia="宋体" w:cs="Arial"/>
                <w:bCs w:val="0"/>
                <w:spacing w:val="0"/>
                <w:kern w:val="2"/>
                <w:sz w:val="21"/>
                <w:szCs w:val="22"/>
                <w:highlight w:val="none"/>
                <w:lang w:val="en-US" w:eastAsia="zh-CN" w:bidi="ar-SA"/>
              </w:rPr>
              <w:t>/9.1</w:t>
            </w:r>
            <w:r>
              <w:rPr>
                <w:rFonts w:hint="eastAsia" w:ascii="Arial" w:hAnsi="Arial" w:cs="Arial"/>
                <w:bCs w:val="0"/>
                <w:spacing w:val="0"/>
                <w:kern w:val="2"/>
                <w:sz w:val="21"/>
                <w:szCs w:val="22"/>
                <w:highlight w:val="none"/>
                <w:lang w:val="en-US" w:eastAsia="zh-CN" w:bidi="ar-SA"/>
              </w:rPr>
              <w:t>.1</w:t>
            </w:r>
            <w:r>
              <w:rPr>
                <w:rFonts w:hint="eastAsia" w:ascii="Arial" w:hAnsi="Arial" w:eastAsia="宋体" w:cs="Arial"/>
                <w:bCs w:val="0"/>
                <w:spacing w:val="0"/>
                <w:kern w:val="2"/>
                <w:sz w:val="21"/>
                <w:szCs w:val="22"/>
                <w:highlight w:val="none"/>
                <w:lang w:val="en-US" w:eastAsia="zh-CN" w:bidi="ar-SA"/>
              </w:rPr>
              <w:t>/</w:t>
            </w:r>
            <w:r>
              <w:rPr>
                <w:rFonts w:hint="eastAsia" w:ascii="Arial" w:hAnsi="Arial" w:eastAsia="宋体" w:cs="Arial"/>
                <w:bCs w:val="0"/>
                <w:spacing w:val="0"/>
                <w:kern w:val="2"/>
                <w:sz w:val="21"/>
                <w:szCs w:val="22"/>
                <w:lang w:val="en-US" w:eastAsia="zh-CN" w:bidi="ar-SA"/>
              </w:rPr>
              <w:t>9.3/10.1/10.3；Q6.3</w:t>
            </w:r>
          </w:p>
          <w:p>
            <w:pPr>
              <w:pStyle w:val="2"/>
              <w:rPr>
                <w:rFonts w:ascii="宋体" w:hAnsi="宋体"/>
                <w:sz w:val="18"/>
              </w:rPr>
            </w:pPr>
            <w:r>
              <w:rPr>
                <w:rFonts w:hint="eastAsia" w:ascii="Arial" w:hAnsi="Arial" w:eastAsia="宋体" w:cs="Arial"/>
                <w:bCs w:val="0"/>
                <w:spacing w:val="0"/>
                <w:kern w:val="2"/>
                <w:sz w:val="21"/>
                <w:szCs w:val="22"/>
                <w:lang w:val="en-US" w:eastAsia="zh-CN" w:bidi="ar-SA"/>
              </w:rPr>
              <w:t>资质验证/范围再确认/一阶段问题验证/投诉或事故/政府主管部门监督抽查情况</w:t>
            </w:r>
          </w:p>
        </w:tc>
        <w:tc>
          <w:tcPr>
            <w:tcW w:w="89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2160" w:type="dxa"/>
          </w:tcPr>
          <w:p>
            <w:pPr>
              <w:spacing w:line="280" w:lineRule="exact"/>
              <w:rPr>
                <w:rFonts w:ascii="宋体" w:hAnsi="宋体" w:cs="宋体"/>
                <w:szCs w:val="21"/>
              </w:rPr>
            </w:pPr>
            <w:r>
              <w:rPr>
                <w:rFonts w:hint="eastAsia" w:ascii="宋体" w:hAnsi="宋体" w:cs="宋体"/>
                <w:szCs w:val="21"/>
              </w:rPr>
              <w:t>理解组织及其环境</w:t>
            </w:r>
          </w:p>
          <w:p>
            <w:pPr>
              <w:spacing w:line="280" w:lineRule="exact"/>
              <w:rPr>
                <w:rFonts w:ascii="宋体" w:hAnsi="宋体" w:cs="宋体"/>
                <w:szCs w:val="21"/>
              </w:rPr>
            </w:pPr>
            <w:r>
              <w:rPr>
                <w:rFonts w:hint="eastAsia" w:ascii="宋体" w:hAnsi="宋体" w:cs="宋体"/>
                <w:szCs w:val="21"/>
              </w:rPr>
              <w:t>总要求</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w:t>
            </w:r>
          </w:p>
          <w:p>
            <w:pPr>
              <w:spacing w:line="280" w:lineRule="exact"/>
              <w:rPr>
                <w:rFonts w:ascii="宋体" w:hAnsi="宋体" w:cs="宋体"/>
                <w:szCs w:val="21"/>
              </w:rPr>
            </w:pPr>
            <w:r>
              <w:rPr>
                <w:rFonts w:hint="eastAsia" w:ascii="宋体" w:hAnsi="宋体" w:cs="宋体"/>
                <w:szCs w:val="21"/>
              </w:rPr>
              <w:t>4.1</w:t>
            </w:r>
          </w:p>
          <w:p>
            <w:pPr>
              <w:spacing w:line="280" w:lineRule="exact"/>
            </w:pPr>
          </w:p>
        </w:tc>
        <w:tc>
          <w:tcPr>
            <w:tcW w:w="10642" w:type="dxa"/>
            <w:vAlign w:val="center"/>
          </w:tcPr>
          <w:p>
            <w:pPr>
              <w:autoSpaceDE w:val="0"/>
              <w:autoSpaceDN w:val="0"/>
              <w:adjustRightInd w:val="0"/>
              <w:spacing w:line="360" w:lineRule="auto"/>
              <w:ind w:firstLine="480"/>
              <w:rPr>
                <w:rFonts w:hint="eastAsia"/>
                <w:szCs w:val="22"/>
                <w:lang w:val="en-US" w:eastAsia="zh-CN"/>
              </w:rPr>
            </w:pPr>
            <w:r>
              <w:rPr>
                <w:rFonts w:hint="eastAsia"/>
                <w:szCs w:val="22"/>
                <w:lang w:val="en-US" w:eastAsia="zh-CN"/>
              </w:rPr>
              <w:t>山西得中电气有限公司成立于2017-08-18，法定代表人为张峰彬，注册资本为300万元人民币，统一社会信用代码为91149900MA0HM7J96Y。企业地址位于山西综改示范区太原学府园区电商街8号合创办公楼301室，所属行业为零售业，经营范围包含：高低压成套设备、自动化控制设备、安防设备、通讯设备（不含卫星电视广播地面接收设施）、工矿机械设备、电子产品、电气元件、电线电缆、仪器仪表、办公用品、五金工具的销售；高低压成套设备、自动化控制设备、安防设备、通讯设备（不含卫星电视广播地面接收设施）、工矿机械设备的研发、设计（不含特种设备的设计）；电气控制柜的安装、调试及技术服务、技术咨询；电气设备（不含特种设备）的维修。（依法须经批准的项目，经相关部门批准后方可开展经营活动）。 </w:t>
            </w:r>
          </w:p>
          <w:p>
            <w:pPr>
              <w:autoSpaceDE w:val="0"/>
              <w:autoSpaceDN w:val="0"/>
              <w:adjustRightInd w:val="0"/>
              <w:spacing w:line="360" w:lineRule="auto"/>
              <w:ind w:firstLine="480"/>
              <w:rPr>
                <w:rFonts w:hint="eastAsia"/>
                <w:szCs w:val="22"/>
                <w:lang w:val="en-US" w:eastAsia="zh-CN"/>
              </w:rPr>
            </w:pPr>
            <w:r>
              <w:rPr>
                <w:rFonts w:hint="eastAsia"/>
                <w:szCs w:val="22"/>
                <w:lang w:val="en-US" w:eastAsia="zh-CN"/>
              </w:rPr>
              <w:t>管理手册DZDQ-SC-2020，实施、发布日期：2020年10月10日。</w:t>
            </w:r>
          </w:p>
          <w:p>
            <w:pPr>
              <w:ind w:firstLine="420" w:firstLineChars="200"/>
            </w:pPr>
            <w:r>
              <w:rPr>
                <w:rFonts w:hint="eastAsia"/>
              </w:rPr>
              <w:t>确认认证范围</w:t>
            </w:r>
          </w:p>
          <w:p>
            <w:pPr>
              <w:autoSpaceDE w:val="0"/>
              <w:autoSpaceDN w:val="0"/>
              <w:adjustRightInd w:val="0"/>
              <w:spacing w:line="360" w:lineRule="auto"/>
              <w:ind w:firstLine="480"/>
              <w:rPr>
                <w:rFonts w:hint="eastAsia"/>
              </w:rPr>
            </w:pPr>
            <w:r>
              <w:rPr>
                <w:rFonts w:hint="eastAsia"/>
              </w:rPr>
              <w:t>Q：高低压成套设备、自动化控制设备的设计、销售</w:t>
            </w:r>
          </w:p>
          <w:p>
            <w:pPr>
              <w:autoSpaceDE w:val="0"/>
              <w:autoSpaceDN w:val="0"/>
              <w:adjustRightInd w:val="0"/>
              <w:spacing w:line="360" w:lineRule="auto"/>
              <w:ind w:firstLine="480"/>
              <w:rPr>
                <w:rFonts w:hint="eastAsia"/>
              </w:rPr>
            </w:pPr>
            <w:r>
              <w:rPr>
                <w:rFonts w:hint="eastAsia"/>
              </w:rPr>
              <w:t>E：高低压成套设备、自动化控制设备的设计、销售所涉及场所的相关环境管理活动</w:t>
            </w:r>
          </w:p>
          <w:p>
            <w:pPr>
              <w:autoSpaceDE w:val="0"/>
              <w:autoSpaceDN w:val="0"/>
              <w:adjustRightInd w:val="0"/>
              <w:spacing w:line="360" w:lineRule="auto"/>
              <w:ind w:firstLine="480"/>
              <w:rPr>
                <w:rFonts w:hint="eastAsia"/>
                <w:lang w:val="en-US" w:eastAsia="zh-CN"/>
              </w:rPr>
            </w:pPr>
            <w:r>
              <w:rPr>
                <w:rFonts w:hint="eastAsia"/>
                <w:lang w:val="en-US" w:eastAsia="zh-CN"/>
              </w:rPr>
              <w:t>总经理负责组织采用走访、行业市场分析等方法分析和确定与公司质量、环境和职业健康安全目标和战略方向相关并影响其实现质量、环境和职业健康安全管理体系预期结果的各种外部因素（如经济环境、政治环境、技术环境、自然环境等）和内部因素（如使命、资源、文化等），并对这些内部和外部因素的相关信息进行监视和评审，每年进行一次监视，采用管理评审的方法进行评审。一旦发生重大变化应重新进行分析和确定。在分析和确定内外部因素时应考虑：</w:t>
            </w:r>
          </w:p>
          <w:p>
            <w:pPr>
              <w:autoSpaceDE w:val="0"/>
              <w:autoSpaceDN w:val="0"/>
              <w:adjustRightInd w:val="0"/>
              <w:spacing w:line="360" w:lineRule="auto"/>
              <w:ind w:firstLine="480"/>
              <w:rPr>
                <w:rFonts w:hint="eastAsia"/>
                <w:lang w:val="en-US" w:eastAsia="zh-CN"/>
              </w:rPr>
            </w:pPr>
            <w:r>
              <w:rPr>
                <w:rFonts w:hint="eastAsia"/>
                <w:lang w:val="en-US" w:eastAsia="zh-CN"/>
              </w:rPr>
              <w:t>a)正面和负面要素或条件。</w:t>
            </w:r>
          </w:p>
          <w:p>
            <w:pPr>
              <w:autoSpaceDE w:val="0"/>
              <w:autoSpaceDN w:val="0"/>
              <w:adjustRightInd w:val="0"/>
              <w:spacing w:line="360" w:lineRule="auto"/>
              <w:ind w:firstLine="480"/>
              <w:rPr>
                <w:rFonts w:hint="eastAsia"/>
                <w:lang w:val="en-US" w:eastAsia="zh-CN"/>
              </w:rPr>
            </w:pPr>
            <w:r>
              <w:rPr>
                <w:rFonts w:hint="eastAsia"/>
                <w:lang w:val="en-US" w:eastAsia="zh-CN"/>
              </w:rPr>
              <w:t>b)外部环境，法律法规要求、市场占有率、市场稳定性、技术和经济因素等。</w:t>
            </w:r>
          </w:p>
          <w:p>
            <w:pPr>
              <w:autoSpaceDE w:val="0"/>
              <w:autoSpaceDN w:val="0"/>
              <w:adjustRightInd w:val="0"/>
              <w:spacing w:line="360" w:lineRule="auto"/>
              <w:ind w:firstLine="480"/>
              <w:rPr>
                <w:rFonts w:hint="default"/>
              </w:rPr>
            </w:pPr>
            <w:r>
              <w:rPr>
                <w:rFonts w:hint="default"/>
                <w:szCs w:val="22"/>
                <w:highlight w:val="none"/>
              </w:rPr>
              <w:t>查提供《组织内外部环境识别表》，有优势、劣势、机会、威胁分析及相关策略，审批：</w:t>
            </w:r>
            <w:r>
              <w:rPr>
                <w:rFonts w:hint="eastAsia"/>
                <w:szCs w:val="22"/>
                <w:highlight w:val="none"/>
                <w:lang w:eastAsia="zh-CN"/>
              </w:rPr>
              <w:t>张峰彬</w:t>
            </w:r>
            <w:r>
              <w:rPr>
                <w:rFonts w:hint="default"/>
                <w:szCs w:val="22"/>
                <w:highlight w:val="none"/>
              </w:rPr>
              <w:t>。</w:t>
            </w:r>
          </w:p>
        </w:tc>
        <w:tc>
          <w:tcPr>
            <w:tcW w:w="895" w:type="dxa"/>
          </w:tcPr>
          <w:p>
            <w:pPr>
              <w:rPr>
                <w:rFonts w:ascii="宋体" w:hAnsi="宋体"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3" w:hRule="atLeast"/>
        </w:trPr>
        <w:tc>
          <w:tcPr>
            <w:tcW w:w="2160" w:type="dxa"/>
          </w:tcPr>
          <w:p>
            <w:pPr>
              <w:spacing w:line="280" w:lineRule="exact"/>
              <w:rPr>
                <w:rFonts w:ascii="宋体" w:hAnsi="宋体" w:cs="宋体"/>
                <w:szCs w:val="21"/>
              </w:rPr>
            </w:pPr>
            <w:r>
              <w:rPr>
                <w:rFonts w:hint="eastAsia" w:ascii="宋体" w:hAnsi="宋体" w:cs="宋体"/>
                <w:szCs w:val="21"/>
              </w:rPr>
              <w:t>理解相关方的需求和期望</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QE4.2</w:t>
            </w:r>
          </w:p>
          <w:p>
            <w:pPr>
              <w:spacing w:line="280" w:lineRule="exact"/>
            </w:pPr>
          </w:p>
        </w:tc>
        <w:tc>
          <w:tcPr>
            <w:tcW w:w="10642" w:type="dxa"/>
            <w:vAlign w:val="center"/>
          </w:tcPr>
          <w:p>
            <w:pPr>
              <w:autoSpaceDE w:val="0"/>
              <w:autoSpaceDN w:val="0"/>
              <w:adjustRightInd w:val="0"/>
              <w:spacing w:line="360" w:lineRule="auto"/>
              <w:rPr>
                <w:rFonts w:hint="eastAsia"/>
              </w:rPr>
            </w:pPr>
            <w:r>
              <w:rPr>
                <w:rFonts w:hint="eastAsia"/>
              </w:rPr>
              <w:t>相关方对公司持续提供符合顾客要求和适用法律法规要求的产品能力、环境管理和职业健康安全管理产生影响或潜在影响，因此，总经理组织通过网络、交流、调查、顾客需求/期望/满意度的监视等方法，确定与质量、环境和职业健康安全管理体系有关的顾客及相关方要求的相关信息，并定期予以监视和评审。</w:t>
            </w:r>
          </w:p>
          <w:p>
            <w:pPr>
              <w:autoSpaceDE w:val="0"/>
              <w:autoSpaceDN w:val="0"/>
              <w:adjustRightInd w:val="0"/>
              <w:spacing w:line="360" w:lineRule="auto"/>
              <w:rPr>
                <w:rFonts w:hint="eastAsia"/>
              </w:rPr>
            </w:pPr>
            <w:r>
              <w:rPr>
                <w:rFonts w:hint="eastAsia"/>
              </w:rPr>
              <w:t>a)与质量、环境和职业健康安全管理体系有关的相关方，包括顾客、最终用户、外部供应商、法律法规及监管部门、银行等；</w:t>
            </w:r>
          </w:p>
          <w:p>
            <w:pPr>
              <w:autoSpaceDE w:val="0"/>
              <w:autoSpaceDN w:val="0"/>
              <w:adjustRightInd w:val="0"/>
              <w:spacing w:line="360" w:lineRule="auto"/>
              <w:rPr>
                <w:rFonts w:hint="eastAsia"/>
              </w:rPr>
            </w:pPr>
            <w:r>
              <w:rPr>
                <w:rFonts w:hint="eastAsia"/>
              </w:rPr>
              <w:t>b)相关方的要求，包括：顾客对产品的符合性、价格、风险控制的要求；与顾客的合同、协议要求；与其他有关方签订的合同的义务；行业规范、标准；对环境管理和职业健康安全管理等。</w:t>
            </w:r>
          </w:p>
          <w:p>
            <w:pPr>
              <w:pStyle w:val="2"/>
              <w:rPr>
                <w:rFonts w:hint="default" w:eastAsia="宋体"/>
                <w:lang w:val="en-US" w:eastAsia="zh-CN"/>
              </w:rPr>
            </w:pPr>
            <w:r>
              <w:rPr>
                <w:rFonts w:hint="default" w:ascii="宋体" w:hAnsi="宋体" w:cs="宋体"/>
                <w:szCs w:val="21"/>
              </w:rPr>
              <w:t>查</w:t>
            </w:r>
            <w:r>
              <w:rPr>
                <w:rFonts w:hint="default" w:ascii="宋体" w:hAnsi="宋体" w:cs="宋体"/>
                <w:szCs w:val="21"/>
                <w:highlight w:val="none"/>
              </w:rPr>
              <w:t>提供《相关方要求识别清单》，识别有客户、供方、员工、</w:t>
            </w:r>
            <w:r>
              <w:rPr>
                <w:rFonts w:hint="default" w:ascii="宋体" w:hAnsi="宋体" w:cs="宋体"/>
                <w:szCs w:val="21"/>
              </w:rPr>
              <w:t>政府部门等相关方需求和期望</w:t>
            </w:r>
            <w:r>
              <w:rPr>
                <w:rFonts w:hint="eastAsia" w:ascii="宋体" w:hAnsi="宋体" w:cs="宋体"/>
                <w:szCs w:val="21"/>
                <w:lang w:eastAsia="zh-CN"/>
              </w:rPr>
              <w:t>。</w:t>
            </w:r>
            <w:r>
              <w:rPr>
                <w:rFonts w:hint="eastAsia" w:ascii="宋体" w:hAnsi="宋体" w:cs="宋体"/>
                <w:szCs w:val="21"/>
                <w:lang w:val="en-US" w:eastAsia="zh-CN"/>
              </w:rPr>
              <w:t>查提供有《相关方要求发放记录》《相关方告知书》。</w:t>
            </w:r>
            <w:bookmarkStart w:id="0" w:name="_GoBack"/>
            <w:bookmarkEnd w:id="0"/>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2160" w:type="dxa"/>
          </w:tcPr>
          <w:p>
            <w:pPr>
              <w:spacing w:line="280" w:lineRule="exact"/>
              <w:rPr>
                <w:rFonts w:ascii="宋体" w:hAnsi="宋体" w:cs="宋体"/>
                <w:szCs w:val="21"/>
              </w:rPr>
            </w:pPr>
            <w:r>
              <w:rPr>
                <w:rFonts w:hint="eastAsia" w:ascii="宋体" w:hAnsi="宋体" w:cs="宋体"/>
                <w:szCs w:val="21"/>
              </w:rPr>
              <w:t>确定管理体系的范围</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QE4.3</w:t>
            </w:r>
          </w:p>
          <w:p>
            <w:pPr>
              <w:spacing w:line="280" w:lineRule="exact"/>
            </w:pPr>
          </w:p>
        </w:tc>
        <w:tc>
          <w:tcPr>
            <w:tcW w:w="10642" w:type="dxa"/>
            <w:vAlign w:val="center"/>
          </w:tcPr>
          <w:p>
            <w:pPr>
              <w:autoSpaceDE w:val="0"/>
              <w:autoSpaceDN w:val="0"/>
              <w:adjustRightInd w:val="0"/>
              <w:spacing w:line="360" w:lineRule="auto"/>
              <w:rPr>
                <w:sz w:val="20"/>
              </w:rPr>
            </w:pPr>
            <w:r>
              <w:rPr>
                <w:rFonts w:hint="eastAsia"/>
              </w:rPr>
              <w:t>公司管理体系范围：高低压成套设备、自动化控制设备的设计、销售及其相关质量、环境、职业健康安全管理活动</w:t>
            </w:r>
            <w:r>
              <w:rPr>
                <w:rFonts w:hint="eastAsia"/>
                <w:szCs w:val="22"/>
              </w:rPr>
              <w:t>。</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9" w:hRule="atLeast"/>
        </w:trPr>
        <w:tc>
          <w:tcPr>
            <w:tcW w:w="2160" w:type="dxa"/>
          </w:tcPr>
          <w:p>
            <w:pPr>
              <w:spacing w:line="280" w:lineRule="exact"/>
              <w:rPr>
                <w:rFonts w:ascii="宋体" w:hAnsi="宋体" w:cs="宋体"/>
                <w:szCs w:val="21"/>
              </w:rPr>
            </w:pPr>
            <w:r>
              <w:rPr>
                <w:rFonts w:hint="eastAsia" w:ascii="宋体" w:hAnsi="宋体" w:cs="宋体"/>
                <w:szCs w:val="21"/>
              </w:rPr>
              <w:t>管理体系及其过程</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QE4.4</w:t>
            </w:r>
          </w:p>
          <w:p>
            <w:pPr>
              <w:spacing w:line="280" w:lineRule="exact"/>
            </w:pPr>
          </w:p>
        </w:tc>
        <w:tc>
          <w:tcPr>
            <w:tcW w:w="10642" w:type="dxa"/>
            <w:vAlign w:val="center"/>
          </w:tcPr>
          <w:p>
            <w:pPr>
              <w:spacing w:line="360" w:lineRule="auto"/>
              <w:ind w:firstLine="420" w:firstLineChars="200"/>
              <w:rPr>
                <w:rFonts w:ascii="宋体" w:hAnsi="宋体" w:cs="宋体"/>
                <w:szCs w:val="21"/>
              </w:rPr>
            </w:pPr>
            <w:r>
              <w:rPr>
                <w:rFonts w:hint="eastAsia" w:ascii="宋体" w:hAnsi="宋体" w:cs="宋体"/>
                <w:szCs w:val="21"/>
              </w:rPr>
              <w:t>该公司根据自身的实际情况和标准的要求组织人员编制了管理手册、作业文件和记录表格，制定了管理方针和管理目标。实施了管理体系，通过对过程检测结果进行分析管理体系得以不断改进。负责人说管理体系运行以来效果不错管理有了一定的提高。每</w:t>
            </w:r>
            <w:r>
              <w:rPr>
                <w:rFonts w:hint="eastAsia" w:ascii="宋体" w:hAnsi="宋体" w:cs="宋体"/>
                <w:szCs w:val="21"/>
                <w:lang w:val="en-US" w:eastAsia="zh-CN"/>
              </w:rPr>
              <w:t>半</w:t>
            </w:r>
            <w:r>
              <w:rPr>
                <w:rFonts w:hint="eastAsia" w:ascii="宋体" w:hAnsi="宋体" w:cs="宋体"/>
                <w:szCs w:val="21"/>
              </w:rPr>
              <w:t>年对管理目标完成情况进行统计分析，出示2020.10-2020.12</w:t>
            </w:r>
            <w:r>
              <w:rPr>
                <w:rFonts w:hint="eastAsia" w:ascii="宋体" w:hAnsi="宋体" w:cs="宋体"/>
                <w:szCs w:val="21"/>
                <w:lang w:eastAsia="zh-CN"/>
              </w:rPr>
              <w:t>、2021.1-2021.6</w:t>
            </w:r>
            <w:r>
              <w:rPr>
                <w:rFonts w:hint="eastAsia" w:ascii="宋体" w:hAnsi="宋体" w:cs="宋体"/>
                <w:szCs w:val="21"/>
              </w:rPr>
              <w:t>月管理目标分解及完成情况记录。</w:t>
            </w:r>
          </w:p>
          <w:p>
            <w:pPr>
              <w:spacing w:line="360" w:lineRule="auto"/>
              <w:ind w:firstLine="420" w:firstLineChars="200"/>
              <w:rPr>
                <w:rFonts w:ascii="宋体" w:hAnsi="宋体" w:cs="宋体"/>
                <w:szCs w:val="21"/>
              </w:rPr>
            </w:pPr>
            <w:r>
              <w:rPr>
                <w:rFonts w:hint="eastAsia" w:ascii="宋体" w:hAnsi="宋体" w:cs="宋体"/>
                <w:szCs w:val="21"/>
              </w:rPr>
              <w:t>与负责人交流：部门确定了满足与管理体系有关的客户及相关方的要求。</w:t>
            </w:r>
          </w:p>
          <w:p>
            <w:pPr>
              <w:spacing w:line="360" w:lineRule="auto"/>
              <w:ind w:firstLine="420" w:firstLineChars="200"/>
            </w:pPr>
            <w:r>
              <w:rPr>
                <w:rFonts w:hint="eastAsia" w:ascii="宋体" w:hAnsi="宋体" w:cs="宋体"/>
                <w:szCs w:val="21"/>
              </w:rPr>
              <w:t>为能在公司范围内更好的应用</w:t>
            </w:r>
            <w:r>
              <w:rPr>
                <w:rFonts w:hint="eastAsia" w:ascii="宋体" w:hAnsi="宋体" w:cs="宋体"/>
                <w:szCs w:val="21"/>
                <w:lang w:eastAsia="zh-CN"/>
              </w:rPr>
              <w:t>质量/环境</w:t>
            </w:r>
            <w:r>
              <w:rPr>
                <w:rFonts w:hint="eastAsia" w:ascii="宋体" w:hAnsi="宋体" w:cs="宋体"/>
                <w:szCs w:val="21"/>
              </w:rPr>
              <w:t>管理体系及其过程方法，编制《管理手册》，作为公司</w:t>
            </w:r>
            <w:r>
              <w:rPr>
                <w:rFonts w:hint="eastAsia" w:ascii="宋体" w:hAnsi="宋体" w:cs="宋体"/>
                <w:szCs w:val="21"/>
                <w:lang w:val="en-US" w:eastAsia="zh-CN"/>
              </w:rPr>
              <w:t>体系</w:t>
            </w:r>
            <w:r>
              <w:rPr>
                <w:rFonts w:hint="eastAsia" w:ascii="宋体" w:hAnsi="宋体" w:cs="宋体"/>
                <w:szCs w:val="21"/>
              </w:rPr>
              <w:t>管理的纲领性文件；编制《程序文件》，说明本公司内部</w:t>
            </w:r>
            <w:r>
              <w:rPr>
                <w:rFonts w:hint="eastAsia" w:ascii="宋体" w:hAnsi="宋体" w:cs="宋体"/>
                <w:szCs w:val="21"/>
                <w:lang w:eastAsia="zh-CN"/>
              </w:rPr>
              <w:t>质量/环境</w:t>
            </w:r>
            <w:r>
              <w:rPr>
                <w:rFonts w:hint="eastAsia" w:ascii="宋体" w:hAnsi="宋体" w:cs="宋体"/>
                <w:szCs w:val="21"/>
              </w:rPr>
              <w:t>体系运行的各过程及其之间的顺序和相互作用；编制各类支持性文件及记录表格等作为证明过程运行的证据。</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spacing w:line="280" w:lineRule="exact"/>
              <w:rPr>
                <w:rFonts w:ascii="宋体" w:hAnsi="宋体" w:cs="宋体"/>
                <w:szCs w:val="21"/>
              </w:rPr>
            </w:pPr>
            <w:r>
              <w:rPr>
                <w:rFonts w:hint="eastAsia" w:ascii="宋体" w:hAnsi="宋体" w:cs="宋体"/>
                <w:szCs w:val="21"/>
              </w:rPr>
              <w:t>领导作用与承诺</w:t>
            </w:r>
          </w:p>
          <w:p>
            <w:pPr>
              <w:spacing w:line="280" w:lineRule="exact"/>
            </w:pPr>
          </w:p>
        </w:tc>
        <w:tc>
          <w:tcPr>
            <w:tcW w:w="1012" w:type="dxa"/>
          </w:tcPr>
          <w:p>
            <w:pPr>
              <w:spacing w:line="280" w:lineRule="exact"/>
              <w:rPr>
                <w:rFonts w:ascii="宋体" w:hAnsi="宋体" w:cs="宋体"/>
                <w:szCs w:val="21"/>
              </w:rPr>
            </w:pPr>
            <w:r>
              <w:rPr>
                <w:rFonts w:hint="eastAsia" w:ascii="宋体" w:hAnsi="宋体" w:cs="宋体"/>
                <w:szCs w:val="21"/>
              </w:rPr>
              <w:t>QE</w:t>
            </w:r>
          </w:p>
          <w:p>
            <w:pPr>
              <w:spacing w:line="280" w:lineRule="exact"/>
              <w:rPr>
                <w:rFonts w:ascii="宋体" w:hAnsi="宋体" w:cs="宋体"/>
                <w:szCs w:val="21"/>
              </w:rPr>
            </w:pPr>
            <w:r>
              <w:rPr>
                <w:rFonts w:hint="eastAsia" w:ascii="宋体" w:hAnsi="宋体" w:cs="宋体"/>
                <w:szCs w:val="21"/>
              </w:rPr>
              <w:t>5.1</w:t>
            </w:r>
          </w:p>
          <w:p>
            <w:pPr>
              <w:spacing w:line="280" w:lineRule="exact"/>
              <w:rPr>
                <w:rFonts w:ascii="宋体" w:hAnsi="宋体" w:cs="宋体"/>
                <w:szCs w:val="21"/>
              </w:rPr>
            </w:pPr>
          </w:p>
          <w:p>
            <w:pPr>
              <w:spacing w:line="280" w:lineRule="exact"/>
            </w:pPr>
          </w:p>
        </w:tc>
        <w:tc>
          <w:tcPr>
            <w:tcW w:w="10642" w:type="dxa"/>
            <w:vAlign w:val="center"/>
          </w:tcPr>
          <w:p>
            <w:pPr>
              <w:spacing w:line="280" w:lineRule="exact"/>
              <w:ind w:firstLine="420" w:firstLineChars="200"/>
              <w:rPr>
                <w:rFonts w:ascii="宋体" w:hAnsi="宋体" w:cs="宋体"/>
                <w:szCs w:val="21"/>
              </w:rPr>
            </w:pPr>
            <w:r>
              <w:rPr>
                <w:rFonts w:hint="eastAsia" w:ascii="宋体" w:hAnsi="宋体" w:eastAsia="宋体" w:cs="宋体"/>
                <w:szCs w:val="21"/>
              </w:rPr>
              <w:t>公司</w:t>
            </w:r>
            <w:r>
              <w:rPr>
                <w:rFonts w:hint="eastAsia" w:ascii="宋体" w:hAnsi="宋体" w:cs="宋体"/>
                <w:szCs w:val="21"/>
                <w:lang w:val="en-US" w:eastAsia="zh-CN"/>
              </w:rPr>
              <w:t>总经理张峰彬</w:t>
            </w:r>
            <w:r>
              <w:rPr>
                <w:rFonts w:hint="eastAsia" w:ascii="宋体" w:hAnsi="宋体" w:eastAsia="宋体" w:cs="宋体"/>
                <w:szCs w:val="21"/>
              </w:rPr>
              <w:t>介</w:t>
            </w:r>
            <w:r>
              <w:rPr>
                <w:rFonts w:hint="eastAsia" w:ascii="宋体" w:hAnsi="宋体" w:cs="宋体"/>
                <w:szCs w:val="21"/>
              </w:rPr>
              <w:t>绍主要承诺有：</w:t>
            </w:r>
          </w:p>
          <w:p>
            <w:pPr>
              <w:spacing w:line="280" w:lineRule="exact"/>
              <w:ind w:firstLine="420" w:firstLineChars="200"/>
              <w:rPr>
                <w:rFonts w:hint="eastAsia" w:ascii="宋体" w:hAnsi="宋体" w:cs="宋体"/>
                <w:szCs w:val="21"/>
              </w:rPr>
            </w:pPr>
            <w:r>
              <w:rPr>
                <w:rFonts w:hint="eastAsia" w:ascii="宋体" w:hAnsi="宋体" w:cs="宋体"/>
                <w:szCs w:val="21"/>
              </w:rPr>
              <w:t>a)对质量、环境和职业健康安全管理体系有效性负责；</w:t>
            </w:r>
          </w:p>
          <w:p>
            <w:pPr>
              <w:spacing w:line="280" w:lineRule="exact"/>
              <w:ind w:firstLine="420" w:firstLineChars="200"/>
              <w:rPr>
                <w:rFonts w:hint="eastAsia" w:ascii="宋体" w:hAnsi="宋体" w:cs="宋体"/>
                <w:szCs w:val="21"/>
              </w:rPr>
            </w:pPr>
            <w:r>
              <w:rPr>
                <w:rFonts w:hint="eastAsia" w:ascii="宋体" w:hAnsi="宋体" w:cs="宋体"/>
                <w:szCs w:val="21"/>
              </w:rPr>
              <w:t>b)确保制定质量、环境和职业健康安全管理体系的质量、环境和职业健康安全方针和质量、环境和职业健康安全目标，并与组织环境和战略方向相一致；</w:t>
            </w:r>
          </w:p>
          <w:p>
            <w:pPr>
              <w:spacing w:line="280" w:lineRule="exact"/>
              <w:ind w:firstLine="420" w:firstLineChars="200"/>
              <w:rPr>
                <w:rFonts w:hint="eastAsia" w:ascii="宋体" w:hAnsi="宋体" w:cs="宋体"/>
                <w:szCs w:val="21"/>
              </w:rPr>
            </w:pPr>
            <w:r>
              <w:rPr>
                <w:rFonts w:hint="eastAsia" w:ascii="宋体" w:hAnsi="宋体" w:cs="宋体"/>
                <w:szCs w:val="21"/>
              </w:rPr>
              <w:t>c)确保质量、环境和职业健康安全管理体系要求融入与组织的业务过程；</w:t>
            </w:r>
          </w:p>
          <w:p>
            <w:pPr>
              <w:spacing w:line="280" w:lineRule="exact"/>
              <w:ind w:firstLine="420" w:firstLineChars="200"/>
              <w:rPr>
                <w:rFonts w:hint="eastAsia" w:ascii="宋体" w:hAnsi="宋体" w:cs="宋体"/>
                <w:szCs w:val="21"/>
              </w:rPr>
            </w:pPr>
            <w:r>
              <w:rPr>
                <w:rFonts w:hint="eastAsia" w:ascii="宋体" w:hAnsi="宋体" w:cs="宋体"/>
                <w:szCs w:val="21"/>
              </w:rPr>
              <w:t>d)促进使用过程方法和基于风险的思维；</w:t>
            </w:r>
          </w:p>
          <w:p>
            <w:pPr>
              <w:spacing w:line="280" w:lineRule="exact"/>
              <w:ind w:firstLine="420" w:firstLineChars="200"/>
              <w:rPr>
                <w:rFonts w:hint="eastAsia" w:ascii="宋体" w:hAnsi="宋体" w:cs="宋体"/>
                <w:szCs w:val="21"/>
              </w:rPr>
            </w:pPr>
            <w:r>
              <w:rPr>
                <w:rFonts w:hint="eastAsia" w:ascii="宋体" w:hAnsi="宋体" w:cs="宋体"/>
                <w:szCs w:val="21"/>
              </w:rPr>
              <w:t>e)确保获得质量、环境和职业健康安全管理体系所需的资源；</w:t>
            </w:r>
          </w:p>
          <w:p>
            <w:pPr>
              <w:spacing w:line="280" w:lineRule="exact"/>
              <w:ind w:firstLine="420" w:firstLineChars="200"/>
              <w:rPr>
                <w:rFonts w:hint="eastAsia" w:ascii="宋体" w:hAnsi="宋体" w:cs="宋体"/>
                <w:szCs w:val="21"/>
              </w:rPr>
            </w:pPr>
            <w:r>
              <w:rPr>
                <w:rFonts w:hint="eastAsia" w:ascii="宋体" w:hAnsi="宋体" w:cs="宋体"/>
                <w:szCs w:val="21"/>
              </w:rPr>
              <w:t>f)采用适宜的方式沟通有效的质量、环境和职业健康安全管理和符合质量、环境和职业健康安全管理体系要求的重要性；</w:t>
            </w:r>
          </w:p>
          <w:p>
            <w:pPr>
              <w:spacing w:line="280" w:lineRule="exact"/>
              <w:ind w:firstLine="420" w:firstLineChars="200"/>
              <w:rPr>
                <w:rFonts w:hint="eastAsia" w:ascii="宋体" w:hAnsi="宋体" w:cs="宋体"/>
                <w:szCs w:val="21"/>
              </w:rPr>
            </w:pPr>
            <w:r>
              <w:rPr>
                <w:rFonts w:hint="eastAsia" w:ascii="宋体" w:hAnsi="宋体" w:cs="宋体"/>
                <w:szCs w:val="21"/>
              </w:rPr>
              <w:t>g)确保实现质量、环境和职业健康安全管理体系的预期结果；</w:t>
            </w:r>
          </w:p>
          <w:p>
            <w:pPr>
              <w:spacing w:line="280" w:lineRule="exact"/>
              <w:ind w:firstLine="420" w:firstLineChars="200"/>
              <w:rPr>
                <w:rFonts w:hint="eastAsia" w:ascii="宋体" w:hAnsi="宋体" w:cs="宋体"/>
                <w:szCs w:val="21"/>
              </w:rPr>
            </w:pPr>
            <w:r>
              <w:rPr>
                <w:rFonts w:hint="eastAsia" w:ascii="宋体" w:hAnsi="宋体" w:cs="宋体"/>
                <w:szCs w:val="21"/>
              </w:rPr>
              <w:t>h)促使、指导和支持员工努力提高质量、环境和职业健康安全管理体系的有效性；</w:t>
            </w:r>
          </w:p>
          <w:p>
            <w:pPr>
              <w:spacing w:line="280" w:lineRule="exact"/>
              <w:ind w:firstLine="420" w:firstLineChars="200"/>
              <w:rPr>
                <w:rFonts w:hint="eastAsia" w:ascii="宋体" w:hAnsi="宋体" w:cs="宋体"/>
                <w:szCs w:val="21"/>
              </w:rPr>
            </w:pPr>
            <w:r>
              <w:rPr>
                <w:rFonts w:hint="eastAsia" w:ascii="宋体" w:hAnsi="宋体" w:cs="宋体"/>
                <w:szCs w:val="21"/>
              </w:rPr>
              <w:t>i)通过过程监控、内外部审核、管理评审等提出的改进信息及建议，推动改进；</w:t>
            </w:r>
          </w:p>
          <w:p>
            <w:pPr>
              <w:spacing w:line="280" w:lineRule="exact"/>
              <w:ind w:firstLine="420" w:firstLineChars="200"/>
              <w:rPr>
                <w:rFonts w:hint="eastAsia" w:ascii="宋体" w:hAnsi="宋体" w:cs="宋体"/>
                <w:szCs w:val="21"/>
              </w:rPr>
            </w:pPr>
            <w:r>
              <w:rPr>
                <w:rFonts w:hint="eastAsia" w:ascii="宋体" w:hAnsi="宋体" w:cs="宋体"/>
                <w:szCs w:val="21"/>
              </w:rPr>
              <w:t>j)支持其他管理者履行其相关领域的职责。</w:t>
            </w:r>
          </w:p>
          <w:p>
            <w:pPr>
              <w:spacing w:line="280" w:lineRule="exact"/>
              <w:ind w:firstLine="420" w:firstLineChars="200"/>
              <w:rPr>
                <w:rFonts w:hint="eastAsia" w:ascii="宋体" w:hAnsi="宋体" w:cs="宋体"/>
                <w:szCs w:val="21"/>
              </w:rPr>
            </w:pPr>
            <w:r>
              <w:rPr>
                <w:rFonts w:hint="eastAsia" w:ascii="宋体" w:hAnsi="宋体" w:cs="宋体"/>
                <w:szCs w:val="21"/>
              </w:rPr>
              <w:t>总经理通过以下途径，证实其以顾客为关注焦点的领导作用和承诺：</w:t>
            </w:r>
          </w:p>
          <w:p>
            <w:pPr>
              <w:spacing w:line="280" w:lineRule="exact"/>
              <w:ind w:firstLine="420" w:firstLineChars="200"/>
              <w:rPr>
                <w:rFonts w:hint="eastAsia" w:ascii="宋体" w:hAnsi="宋体" w:cs="宋体"/>
                <w:szCs w:val="21"/>
              </w:rPr>
            </w:pPr>
            <w:r>
              <w:rPr>
                <w:rFonts w:hint="eastAsia" w:ascii="宋体" w:hAnsi="宋体" w:cs="宋体"/>
                <w:szCs w:val="21"/>
              </w:rPr>
              <w:t>a)确定、理解并持续满足顾客要求以及适用的法律法规要求；</w:t>
            </w:r>
          </w:p>
          <w:p>
            <w:pPr>
              <w:spacing w:line="280" w:lineRule="exact"/>
              <w:ind w:firstLine="420" w:firstLineChars="200"/>
              <w:rPr>
                <w:rFonts w:hint="eastAsia" w:ascii="宋体" w:hAnsi="宋体" w:cs="宋体"/>
                <w:szCs w:val="21"/>
              </w:rPr>
            </w:pPr>
            <w:r>
              <w:rPr>
                <w:rFonts w:hint="eastAsia" w:ascii="宋体" w:hAnsi="宋体" w:cs="宋体"/>
                <w:szCs w:val="21"/>
              </w:rPr>
              <w:t>b)确定和应对能够影响销售、购销和服务符合性以及增强顾客满意能力的风险和机遇；</w:t>
            </w:r>
          </w:p>
          <w:p>
            <w:pPr>
              <w:spacing w:line="280" w:lineRule="exact"/>
              <w:ind w:firstLine="420" w:firstLineChars="200"/>
              <w:rPr>
                <w:rFonts w:hint="eastAsia" w:ascii="宋体" w:hAnsi="宋体" w:cs="宋体"/>
                <w:szCs w:val="21"/>
              </w:rPr>
            </w:pPr>
            <w:r>
              <w:rPr>
                <w:rFonts w:hint="eastAsia" w:ascii="宋体" w:hAnsi="宋体" w:cs="宋体"/>
                <w:szCs w:val="21"/>
              </w:rPr>
              <w:t>c)始终致力于增强顾客满意。</w:t>
            </w:r>
          </w:p>
          <w:p>
            <w:pPr>
              <w:spacing w:line="360" w:lineRule="auto"/>
              <w:ind w:firstLine="420" w:firstLineChars="200"/>
              <w:rPr>
                <w:rFonts w:ascii="宋体" w:hAnsi="宋体" w:cs="宋体"/>
                <w:szCs w:val="21"/>
              </w:rPr>
            </w:pPr>
            <w:r>
              <w:rPr>
                <w:rFonts w:hint="eastAsia" w:ascii="宋体" w:hAnsi="宋体" w:cs="宋体"/>
                <w:szCs w:val="21"/>
              </w:rPr>
              <w:t>对全体员工进行了顾客关注焦点的宣传和培训，制定了管理文件和管理目标，并按规定进行了管理评审，目前该公司的管理体系基本得到了落实。管理层通过制定方针和目标并通过会议、培训等形式要求员工理解企业的方针目标以及传达守法经营及达到顾客满意的质量意识的重要性并形成制度化，强调企业实施管理体系管理的重要性。资源提供充分并通过定期进行管理评审发现过程中存在的问题并加以改进，承诺基本有效。企业通过会议、培训等形式要求员工理解公司的方针和目标，以及遵守法律法规的重要性及顾客满意的重要性，并形成制度化，规定了定期检查落实的情况，并有具体要求。</w:t>
            </w:r>
          </w:p>
          <w:p>
            <w:pPr>
              <w:spacing w:line="360" w:lineRule="auto"/>
              <w:ind w:firstLine="420" w:firstLineChars="200"/>
            </w:pPr>
            <w:r>
              <w:rPr>
                <w:rFonts w:hint="eastAsia" w:ascii="宋体" w:hAnsi="宋体" w:cs="宋体"/>
                <w:szCs w:val="21"/>
              </w:rPr>
              <w:t>承诺基本实现，没有违反的情况发生。</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6" w:hRule="atLeast"/>
        </w:trPr>
        <w:tc>
          <w:tcPr>
            <w:tcW w:w="2160" w:type="dxa"/>
          </w:tcPr>
          <w:p>
            <w:pPr>
              <w:spacing w:line="280" w:lineRule="exact"/>
              <w:rPr>
                <w:rFonts w:ascii="宋体" w:hAnsi="宋体" w:cs="宋体"/>
                <w:szCs w:val="21"/>
              </w:rPr>
            </w:pPr>
            <w:r>
              <w:rPr>
                <w:rFonts w:hint="eastAsia" w:ascii="宋体" w:hAnsi="宋体" w:cs="宋体"/>
                <w:szCs w:val="21"/>
              </w:rPr>
              <w:t>方针</w:t>
            </w:r>
          </w:p>
          <w:p>
            <w:pPr>
              <w:spacing w:line="280" w:lineRule="exact"/>
              <w:rPr>
                <w:rFonts w:ascii="宋体" w:hAnsi="宋体" w:cs="宋体"/>
                <w:szCs w:val="21"/>
              </w:rPr>
            </w:pPr>
            <w:r>
              <w:rPr>
                <w:rFonts w:hint="eastAsia" w:ascii="宋体" w:hAnsi="宋体" w:cs="宋体"/>
                <w:szCs w:val="21"/>
              </w:rPr>
              <w:t>制定方针</w:t>
            </w:r>
          </w:p>
          <w:p>
            <w:pPr>
              <w:spacing w:line="280" w:lineRule="exact"/>
            </w:pPr>
            <w:r>
              <w:rPr>
                <w:rFonts w:hint="eastAsia" w:ascii="宋体" w:hAnsi="宋体" w:cs="宋体"/>
                <w:szCs w:val="21"/>
              </w:rPr>
              <w:t>沟通方针</w:t>
            </w:r>
          </w:p>
        </w:tc>
        <w:tc>
          <w:tcPr>
            <w:tcW w:w="1012" w:type="dxa"/>
          </w:tcPr>
          <w:p>
            <w:pPr>
              <w:spacing w:line="280" w:lineRule="exact"/>
              <w:rPr>
                <w:rFonts w:ascii="宋体" w:hAnsi="宋体" w:cs="宋体"/>
                <w:szCs w:val="21"/>
              </w:rPr>
            </w:pPr>
            <w:r>
              <w:rPr>
                <w:rFonts w:hint="eastAsia" w:ascii="宋体" w:hAnsi="宋体" w:cs="宋体"/>
                <w:szCs w:val="21"/>
              </w:rPr>
              <w:t>QE5.2</w:t>
            </w:r>
          </w:p>
          <w:p>
            <w:pPr>
              <w:snapToGrid w:val="0"/>
              <w:spacing w:line="280" w:lineRule="exact"/>
              <w:rPr>
                <w:szCs w:val="21"/>
              </w:rPr>
            </w:pPr>
          </w:p>
          <w:p>
            <w:pPr>
              <w:spacing w:line="280" w:lineRule="exact"/>
              <w:rPr>
                <w:rFonts w:ascii="宋体" w:hAnsi="宋体" w:cs="宋体"/>
                <w:szCs w:val="21"/>
              </w:rPr>
            </w:pPr>
          </w:p>
          <w:p>
            <w:pPr>
              <w:spacing w:line="280" w:lineRule="exact"/>
            </w:pPr>
          </w:p>
        </w:tc>
        <w:tc>
          <w:tcPr>
            <w:tcW w:w="10642" w:type="dxa"/>
            <w:vAlign w:val="center"/>
          </w:tcPr>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管理方针：</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遵守法律法规，确保服务质量，预防环境污染,</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控制安全风险，实施持续改进，追求顾客满意。</w:t>
            </w:r>
          </w:p>
          <w:p>
            <w:pPr>
              <w:spacing w:line="360" w:lineRule="auto"/>
              <w:ind w:firstLine="420" w:firstLineChars="200"/>
              <w:rPr>
                <w:rFonts w:hint="eastAsia" w:ascii="宋体" w:hAnsi="宋体" w:cs="宋体"/>
                <w:szCs w:val="21"/>
              </w:rPr>
            </w:pPr>
            <w:r>
              <w:rPr>
                <w:rFonts w:hint="eastAsia" w:ascii="宋体" w:hAnsi="宋体" w:cs="宋体"/>
                <w:szCs w:val="21"/>
              </w:rPr>
              <w:t>公司以质量、环境标准为基础，结合公司实际特制定管理方针。与</w:t>
            </w:r>
            <w:r>
              <w:rPr>
                <w:rFonts w:hint="eastAsia" w:ascii="宋体" w:hAnsi="宋体" w:cs="宋体"/>
                <w:szCs w:val="21"/>
                <w:lang w:eastAsia="zh-CN"/>
              </w:rPr>
              <w:t>总</w:t>
            </w:r>
            <w:r>
              <w:rPr>
                <w:rFonts w:hint="eastAsia" w:ascii="宋体" w:hAnsi="宋体" w:cs="宋体"/>
                <w:szCs w:val="21"/>
                <w:lang w:val="en-US" w:eastAsia="zh-CN"/>
              </w:rPr>
              <w:t>经理</w:t>
            </w:r>
            <w:r>
              <w:rPr>
                <w:rFonts w:hint="eastAsia" w:ascii="宋体" w:hAnsi="宋体" w:cs="宋体"/>
                <w:szCs w:val="21"/>
              </w:rPr>
              <w:t>进行交谈，对方针内涵的理解较深刻。方针能为制定目标提供框架，方针基本符合标准的要求。</w:t>
            </w:r>
          </w:p>
          <w:p>
            <w:pPr>
              <w:spacing w:line="360" w:lineRule="auto"/>
              <w:ind w:firstLine="420" w:firstLineChars="200"/>
              <w:rPr>
                <w:rFonts w:hint="eastAsia" w:ascii="宋体" w:hAnsi="宋体" w:cs="宋体"/>
                <w:szCs w:val="21"/>
              </w:rPr>
            </w:pPr>
            <w:r>
              <w:rPr>
                <w:rFonts w:hint="eastAsia" w:ascii="宋体" w:hAnsi="宋体" w:cs="宋体"/>
                <w:szCs w:val="21"/>
                <w:lang w:eastAsia="zh-CN"/>
              </w:rPr>
              <w:t>总</w:t>
            </w:r>
            <w:r>
              <w:rPr>
                <w:rFonts w:hint="eastAsia" w:ascii="宋体" w:hAnsi="宋体" w:cs="宋体"/>
                <w:szCs w:val="21"/>
                <w:lang w:val="en-US" w:eastAsia="zh-CN"/>
              </w:rPr>
              <w:t>经理</w:t>
            </w:r>
            <w:r>
              <w:rPr>
                <w:rFonts w:hint="eastAsia" w:ascii="宋体" w:hAnsi="宋体" w:cs="宋体"/>
                <w:szCs w:val="21"/>
              </w:rPr>
              <w:t>用会议、文件等手段保证管理方针为全体员工理解并落实到工作中。</w:t>
            </w:r>
            <w:r>
              <w:rPr>
                <w:rFonts w:hint="eastAsia" w:ascii="宋体" w:hAnsi="宋体" w:cs="宋体"/>
                <w:szCs w:val="21"/>
                <w:lang w:eastAsia="zh-CN"/>
              </w:rPr>
              <w:t>总</w:t>
            </w:r>
            <w:r>
              <w:rPr>
                <w:rFonts w:hint="eastAsia" w:ascii="宋体" w:hAnsi="宋体" w:cs="宋体"/>
                <w:szCs w:val="21"/>
                <w:lang w:val="en-US" w:eastAsia="zh-CN"/>
              </w:rPr>
              <w:t>经理</w:t>
            </w:r>
            <w:r>
              <w:rPr>
                <w:rFonts w:hint="eastAsia" w:ascii="宋体" w:hAnsi="宋体" w:cs="宋体"/>
                <w:szCs w:val="21"/>
              </w:rPr>
              <w:t>说管理评审时对方针的持续适宜性进行了评审，有评审记录。</w:t>
            </w:r>
          </w:p>
          <w:p>
            <w:pPr>
              <w:spacing w:line="280" w:lineRule="exact"/>
              <w:ind w:firstLine="420" w:firstLineChars="200"/>
              <w:rPr>
                <w:rFonts w:ascii="宋体" w:hAnsi="宋体" w:cs="宋体"/>
                <w:szCs w:val="21"/>
              </w:rPr>
            </w:pPr>
            <w:r>
              <w:rPr>
                <w:rFonts w:hint="eastAsia" w:ascii="宋体" w:hAnsi="宋体" w:cs="宋体"/>
                <w:szCs w:val="21"/>
              </w:rPr>
              <w:t>以上管理方针通过文件、培训等形式将公司管理方针传达给所有为公司工作或代表公司的人员，相关方也可获取公司管理方针。</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trPr>
        <w:tc>
          <w:tcPr>
            <w:tcW w:w="2160"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1012" w:type="dxa"/>
          </w:tcPr>
          <w:p>
            <w:pPr>
              <w:spacing w:line="280" w:lineRule="exact"/>
              <w:rPr>
                <w:rFonts w:ascii="宋体" w:cs="宋体"/>
                <w:szCs w:val="21"/>
              </w:rPr>
            </w:pPr>
            <w:r>
              <w:rPr>
                <w:rFonts w:ascii="宋体" w:cs="宋体"/>
                <w:szCs w:val="21"/>
              </w:rPr>
              <w:t>QE5.3</w:t>
            </w:r>
          </w:p>
          <w:p>
            <w:pPr>
              <w:spacing w:line="280" w:lineRule="exact"/>
            </w:pPr>
          </w:p>
        </w:tc>
        <w:tc>
          <w:tcPr>
            <w:tcW w:w="10642" w:type="dxa"/>
            <w:vAlign w:val="center"/>
          </w:tcPr>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确定了部门、各岗位人员职责、权限和相互关系，并在公司内对各级员工进行了必要的传达。对从事与服务有关的管理、执行和验证人员规定其职责、权限及其相互关系，以实现公司管理方针和管理目标。</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建立、实施和保持公司管理体系所需的过程，公司任命</w:t>
            </w:r>
            <w:r>
              <w:rPr>
                <w:rFonts w:hint="eastAsia" w:ascii="宋体" w:hAnsi="宋体" w:cs="宋体"/>
                <w:szCs w:val="21"/>
                <w:lang w:val="en-US" w:eastAsia="zh-CN"/>
              </w:rPr>
              <w:t>王荣刚</w:t>
            </w:r>
            <w:r>
              <w:rPr>
                <w:rFonts w:hint="eastAsia" w:ascii="宋体" w:hAnsi="宋体" w:cs="宋体"/>
                <w:szCs w:val="21"/>
                <w:lang w:eastAsia="zh-CN"/>
              </w:rPr>
              <w:t>为管理者代表。</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其职责和权限规定如下：</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a）代表总经理按标准要求策划、建立、实施和保持公司管理体系，并确保管理体系的有效运行和持续改进；</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b）向最高管理者报告管理体系的业绩和任何改进的需求，以便评审和改进管理体系；</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c）通过各种方式不断加深全体员工对满足顾客、环境保护、提高职业健康安全绩效要求和法律法规及其他要求重要性的认识程度和能力意识；</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d）负责组织管理体系内审，协助总经理进行管理评审；</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e）负责公司管理体系有关事宜与外部各方的联络；</w:t>
            </w:r>
          </w:p>
          <w:p>
            <w:pPr>
              <w:spacing w:line="360" w:lineRule="auto"/>
              <w:ind w:firstLine="420" w:firstLineChars="200"/>
              <w:rPr>
                <w:bCs w:val="0"/>
                <w:spacing w:val="0"/>
              </w:rPr>
            </w:pPr>
            <w:r>
              <w:rPr>
                <w:rFonts w:hint="eastAsia" w:ascii="宋体" w:hAnsi="宋体" w:cs="宋体"/>
                <w:szCs w:val="21"/>
                <w:lang w:eastAsia="zh-CN"/>
              </w:rPr>
              <w:t>询问管代</w:t>
            </w:r>
            <w:r>
              <w:rPr>
                <w:rFonts w:hint="eastAsia" w:ascii="宋体" w:hAnsi="宋体" w:cs="宋体"/>
                <w:szCs w:val="21"/>
                <w:lang w:val="en-US" w:eastAsia="zh-CN"/>
              </w:rPr>
              <w:t>王荣刚</w:t>
            </w:r>
            <w:r>
              <w:rPr>
                <w:rFonts w:hint="eastAsia" w:ascii="宋体" w:hAnsi="宋体" w:cs="宋体"/>
                <w:szCs w:val="21"/>
                <w:lang w:eastAsia="zh-CN"/>
              </w:rPr>
              <w:t>职责回答正确。</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2160" w:type="dxa"/>
          </w:tcPr>
          <w:p>
            <w:pPr>
              <w:spacing w:line="280" w:lineRule="exact"/>
              <w:rPr>
                <w:rFonts w:ascii="宋体" w:hAnsi="宋体" w:cs="宋体"/>
                <w:szCs w:val="21"/>
              </w:rPr>
            </w:pPr>
            <w:r>
              <w:rPr>
                <w:rFonts w:hint="eastAsia" w:ascii="宋体" w:hAnsi="宋体" w:cs="宋体"/>
                <w:szCs w:val="21"/>
              </w:rPr>
              <w:t>应对风险和机遇的措施</w:t>
            </w:r>
          </w:p>
          <w:p>
            <w:pPr>
              <w:spacing w:line="280" w:lineRule="exact"/>
              <w:rPr>
                <w:rFonts w:ascii="宋体" w:hAnsi="宋体" w:cs="宋体"/>
                <w:szCs w:val="21"/>
              </w:rPr>
            </w:pPr>
          </w:p>
        </w:tc>
        <w:tc>
          <w:tcPr>
            <w:tcW w:w="1012" w:type="dxa"/>
          </w:tcPr>
          <w:p>
            <w:pPr>
              <w:spacing w:line="280" w:lineRule="exact"/>
              <w:rPr>
                <w:rFonts w:ascii="宋体" w:hAnsi="宋体" w:cs="宋体"/>
                <w:szCs w:val="21"/>
                <w:highlight w:val="none"/>
              </w:rPr>
            </w:pPr>
            <w:r>
              <w:rPr>
                <w:rFonts w:hint="eastAsia" w:ascii="宋体" w:hAnsi="宋体" w:cs="宋体"/>
                <w:szCs w:val="21"/>
                <w:highlight w:val="none"/>
              </w:rPr>
              <w:t>Q6.1</w:t>
            </w:r>
          </w:p>
          <w:p>
            <w:pPr>
              <w:spacing w:line="280" w:lineRule="exact"/>
              <w:rPr>
                <w:rFonts w:ascii="宋体"/>
                <w:szCs w:val="21"/>
                <w:highlight w:val="none"/>
              </w:rPr>
            </w:pPr>
            <w:r>
              <w:rPr>
                <w:rFonts w:ascii="宋体" w:cs="宋体"/>
                <w:szCs w:val="21"/>
                <w:highlight w:val="none"/>
              </w:rPr>
              <w:t>E6.1.1</w:t>
            </w:r>
          </w:p>
          <w:p>
            <w:pPr>
              <w:spacing w:line="280" w:lineRule="exact"/>
              <w:rPr>
                <w:rFonts w:ascii="宋体" w:hAnsi="宋体" w:cs="宋体"/>
                <w:szCs w:val="21"/>
              </w:rPr>
            </w:pPr>
          </w:p>
          <w:p>
            <w:pPr>
              <w:spacing w:line="280" w:lineRule="exact"/>
            </w:pPr>
          </w:p>
        </w:tc>
        <w:tc>
          <w:tcPr>
            <w:tcW w:w="10642" w:type="dxa"/>
            <w:vAlign w:val="center"/>
          </w:tcPr>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查制定有《</w:t>
            </w:r>
            <w:r>
              <w:rPr>
                <w:rFonts w:hint="eastAsia" w:ascii="宋体" w:hAnsi="宋体" w:cs="宋体"/>
                <w:szCs w:val="21"/>
                <w:lang w:eastAsia="zh-CN"/>
              </w:rPr>
              <w:t>风险和机遇控制程序》（DZDQ-CX-24-A/0），</w:t>
            </w:r>
            <w:r>
              <w:rPr>
                <w:rFonts w:hint="eastAsia" w:ascii="宋体" w:hAnsi="宋体" w:cs="宋体"/>
                <w:szCs w:val="21"/>
                <w:lang w:val="en-US" w:eastAsia="zh-CN"/>
              </w:rPr>
              <w:t>提供有《风险和机遇评价、应对措施记录》，</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企业识别了如下分析：</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1、外部供方：风险：供方不能及时送货，或者产品质量有问题。机遇：</w:t>
            </w:r>
            <w:r>
              <w:rPr>
                <w:rFonts w:hint="eastAsia" w:ascii="宋体" w:hAnsi="宋体"/>
                <w:lang w:eastAsia="zh-CN"/>
              </w:rPr>
              <w:t>节假日电商产品促销</w:t>
            </w:r>
            <w:r>
              <w:rPr>
                <w:rFonts w:hint="eastAsia" w:ascii="Calibri" w:hAnsi="Calibri" w:cs="Calibri"/>
                <w:szCs w:val="21"/>
                <w:lang w:eastAsia="zh-CN"/>
              </w:rPr>
              <w:t>。</w:t>
            </w:r>
          </w:p>
          <w:p>
            <w:pPr>
              <w:spacing w:line="360" w:lineRule="auto"/>
              <w:ind w:firstLine="420" w:firstLineChars="200"/>
              <w:rPr>
                <w:rFonts w:hint="default" w:ascii="宋体" w:hAnsi="宋体" w:cs="宋体"/>
                <w:szCs w:val="21"/>
                <w:lang w:val="en-US" w:eastAsia="zh-CN"/>
              </w:rPr>
            </w:pPr>
            <w:r>
              <w:rPr>
                <w:rFonts w:hint="eastAsia" w:ascii="宋体" w:hAnsi="宋体" w:cs="宋体"/>
                <w:szCs w:val="21"/>
                <w:lang w:eastAsia="zh-CN"/>
              </w:rPr>
              <w:t>2、顾客过程：</w:t>
            </w:r>
            <w:r>
              <w:rPr>
                <w:rFonts w:hint="eastAsia" w:ascii="宋体" w:hAnsi="宋体" w:cs="宋体"/>
                <w:szCs w:val="21"/>
                <w:lang w:val="en-US" w:eastAsia="zh-CN"/>
              </w:rPr>
              <w:t>风险：</w:t>
            </w:r>
            <w:r>
              <w:rPr>
                <w:rFonts w:hint="eastAsia" w:ascii="宋体" w:hAnsi="宋体" w:cs="宋体"/>
                <w:szCs w:val="21"/>
                <w:lang w:eastAsia="zh-CN"/>
              </w:rPr>
              <w:t>合同履行中顾客要求推迟验收，原因：或资金短缺或顾客方有重大活动（如项目未完工或增加项目等）。机遇：</w:t>
            </w:r>
            <w:r>
              <w:rPr>
                <w:rFonts w:hint="eastAsia" w:ascii="宋体" w:hAnsi="宋体"/>
                <w:color w:val="000000"/>
              </w:rPr>
              <w:t>顾客想充分利用本公司资源，提出愿意与本公司合作开发新的项目</w:t>
            </w:r>
            <w:r>
              <w:rPr>
                <w:rFonts w:hint="eastAsia" w:ascii="宋体" w:hAnsi="宋体" w:cs="宋体"/>
                <w:szCs w:val="21"/>
                <w:lang w:val="en-US" w:eastAsia="zh-CN"/>
              </w:rPr>
              <w:t>。</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3、人员管理过程：</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风险：</w:t>
            </w:r>
          </w:p>
          <w:p>
            <w:pPr>
              <w:numPr>
                <w:ilvl w:val="0"/>
                <w:numId w:val="1"/>
              </w:numPr>
              <w:spacing w:line="360" w:lineRule="auto"/>
              <w:ind w:left="0" w:leftChars="0" w:firstLine="420" w:firstLineChars="200"/>
              <w:rPr>
                <w:rFonts w:hint="eastAsia" w:ascii="宋体" w:hAnsi="宋体" w:cs="宋体"/>
                <w:szCs w:val="21"/>
                <w:lang w:eastAsia="zh-CN"/>
              </w:rPr>
            </w:pPr>
            <w:r>
              <w:rPr>
                <w:rFonts w:hint="eastAsia" w:ascii="宋体" w:hAnsi="宋体" w:cs="宋体"/>
                <w:szCs w:val="21"/>
                <w:lang w:eastAsia="zh-CN"/>
              </w:rPr>
              <w:t>设计师、销售等主要岗位人员突然离岗多人；</w:t>
            </w:r>
          </w:p>
          <w:p>
            <w:pPr>
              <w:numPr>
                <w:ilvl w:val="0"/>
                <w:numId w:val="1"/>
              </w:numPr>
              <w:spacing w:line="360" w:lineRule="auto"/>
              <w:ind w:left="0" w:leftChars="0" w:firstLine="420" w:firstLineChars="200"/>
              <w:rPr>
                <w:rFonts w:hint="eastAsia" w:ascii="宋体" w:hAnsi="宋体" w:cs="宋体"/>
                <w:szCs w:val="21"/>
                <w:lang w:eastAsia="zh-CN"/>
              </w:rPr>
            </w:pPr>
            <w:r>
              <w:rPr>
                <w:rFonts w:hint="eastAsia" w:ascii="宋体" w:hAnsi="宋体" w:cs="宋体"/>
                <w:szCs w:val="21"/>
                <w:lang w:eastAsia="zh-CN"/>
              </w:rPr>
              <w:t>员工能力、不能满足岗位需求；</w:t>
            </w:r>
          </w:p>
          <w:p>
            <w:pPr>
              <w:numPr>
                <w:ilvl w:val="0"/>
                <w:numId w:val="1"/>
              </w:numPr>
              <w:spacing w:line="360" w:lineRule="auto"/>
              <w:ind w:left="0" w:leftChars="0" w:firstLine="420" w:firstLineChars="200"/>
              <w:rPr>
                <w:rFonts w:hint="eastAsia" w:ascii="宋体" w:hAnsi="宋体" w:cs="宋体"/>
                <w:szCs w:val="21"/>
                <w:lang w:eastAsia="zh-CN"/>
              </w:rPr>
            </w:pPr>
            <w:r>
              <w:rPr>
                <w:rFonts w:hint="eastAsia" w:ascii="宋体" w:hAnsi="宋体" w:cs="宋体"/>
                <w:szCs w:val="21"/>
                <w:lang w:eastAsia="zh-CN"/>
              </w:rPr>
              <w:t>员工思想波动，工作不安心。</w:t>
            </w:r>
          </w:p>
          <w:p>
            <w:pPr>
              <w:numPr>
                <w:numId w:val="0"/>
              </w:numPr>
              <w:spacing w:line="360" w:lineRule="auto"/>
              <w:ind w:leftChars="200"/>
              <w:rPr>
                <w:rFonts w:hint="eastAsia" w:ascii="宋体" w:hAnsi="宋体" w:cs="宋体"/>
                <w:szCs w:val="21"/>
                <w:lang w:eastAsia="zh-CN"/>
              </w:rPr>
            </w:pPr>
            <w:r>
              <w:rPr>
                <w:rFonts w:hint="eastAsia" w:ascii="宋体" w:hAnsi="宋体" w:cs="宋体"/>
                <w:szCs w:val="21"/>
                <w:lang w:eastAsia="zh-CN"/>
              </w:rPr>
              <w:t>机遇：有本行业技术人才、主动要求加入本公司，旨在帮助企业、施展才能。</w:t>
            </w:r>
          </w:p>
          <w:p>
            <w:pPr>
              <w:spacing w:line="360" w:lineRule="auto"/>
              <w:ind w:firstLine="420" w:firstLineChars="200"/>
              <w:rPr>
                <w:rFonts w:hint="eastAsia" w:ascii="宋体" w:hAnsi="宋体" w:cs="宋体"/>
                <w:szCs w:val="21"/>
                <w:lang w:eastAsia="zh-CN"/>
              </w:rPr>
            </w:pPr>
            <w:r>
              <w:rPr>
                <w:rFonts w:hint="eastAsia" w:ascii="宋体" w:hAnsi="宋体" w:cs="宋体"/>
                <w:szCs w:val="21"/>
                <w:lang w:eastAsia="zh-CN"/>
              </w:rPr>
              <w:t>4、基础设施控制过程：风险：所用能源（电、水）突然停止供应。机遇：</w:t>
            </w:r>
            <w:r>
              <w:rPr>
                <w:rFonts w:hint="eastAsia" w:ascii="宋体" w:hAnsi="宋体"/>
                <w:color w:val="auto"/>
                <w:sz w:val="21"/>
                <w:szCs w:val="21"/>
              </w:rPr>
              <w:t>配备</w:t>
            </w:r>
            <w:r>
              <w:rPr>
                <w:rFonts w:hint="eastAsia" w:ascii="宋体" w:hAnsi="宋体"/>
                <w:color w:val="auto"/>
                <w:sz w:val="21"/>
                <w:szCs w:val="21"/>
                <w:lang w:val="en-US" w:eastAsia="zh-CN"/>
              </w:rPr>
              <w:t>有</w:t>
            </w:r>
            <w:r>
              <w:rPr>
                <w:rFonts w:hint="eastAsia" w:ascii="宋体" w:hAnsi="宋体"/>
                <w:color w:val="auto"/>
                <w:sz w:val="21"/>
                <w:szCs w:val="21"/>
                <w:lang w:eastAsia="zh-CN"/>
              </w:rPr>
              <w:t>应急电源，</w:t>
            </w:r>
            <w:r>
              <w:rPr>
                <w:rFonts w:hint="eastAsia" w:ascii="宋体" w:hAnsi="宋体"/>
                <w:color w:val="auto"/>
                <w:sz w:val="21"/>
                <w:szCs w:val="21"/>
                <w:lang w:val="en-US" w:eastAsia="zh-CN"/>
              </w:rPr>
              <w:t>不影响进度</w:t>
            </w:r>
            <w:r>
              <w:rPr>
                <w:rFonts w:hint="eastAsia" w:ascii="宋体" w:hAnsi="宋体" w:cs="宋体"/>
                <w:szCs w:val="21"/>
                <w:lang w:eastAsia="zh-CN"/>
              </w:rPr>
              <w:t>。</w:t>
            </w:r>
          </w:p>
          <w:p>
            <w:pPr>
              <w:spacing w:line="360" w:lineRule="auto"/>
              <w:ind w:firstLine="420" w:firstLineChars="200"/>
              <w:rPr>
                <w:rFonts w:hint="eastAsia" w:eastAsia="宋体"/>
                <w:lang w:eastAsia="zh-CN"/>
              </w:rPr>
            </w:pPr>
            <w:r>
              <w:rPr>
                <w:rFonts w:hint="eastAsia" w:ascii="宋体" w:hAnsi="宋体" w:cs="宋体"/>
                <w:szCs w:val="21"/>
                <w:lang w:eastAsia="zh-CN"/>
              </w:rPr>
              <w:t>风险评估结论：对于以上涉及到的主要风险，一旦发生，均可能对公司的发展造成巨大损失，所以我们应时刻监视并评价相关环境因素，尽可能的规避风险或降低发生概率。</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64" w:hRule="atLeast"/>
        </w:trPr>
        <w:tc>
          <w:tcPr>
            <w:tcW w:w="2160" w:type="dxa"/>
          </w:tcPr>
          <w:p>
            <w:pPr>
              <w:spacing w:line="280" w:lineRule="exact"/>
              <w:rPr>
                <w:szCs w:val="21"/>
              </w:rPr>
            </w:pPr>
            <w:r>
              <w:rPr>
                <w:rFonts w:hint="eastAsia" w:cs="宋体"/>
                <w:szCs w:val="21"/>
              </w:rPr>
              <w:t>措施的策划</w:t>
            </w:r>
          </w:p>
          <w:p>
            <w:pPr>
              <w:spacing w:line="280" w:lineRule="exact"/>
              <w:rPr>
                <w:rFonts w:ascii="宋体" w:hAnsi="宋体" w:cs="宋体"/>
                <w:szCs w:val="21"/>
              </w:rPr>
            </w:pPr>
          </w:p>
        </w:tc>
        <w:tc>
          <w:tcPr>
            <w:tcW w:w="1012" w:type="dxa"/>
          </w:tcPr>
          <w:p>
            <w:pPr>
              <w:spacing w:line="280" w:lineRule="exact"/>
              <w:rPr>
                <w:szCs w:val="21"/>
                <w:highlight w:val="none"/>
              </w:rPr>
            </w:pPr>
            <w:r>
              <w:rPr>
                <w:rFonts w:hint="eastAsia"/>
                <w:szCs w:val="21"/>
                <w:highlight w:val="none"/>
              </w:rPr>
              <w:t>E6.1.4</w:t>
            </w:r>
          </w:p>
          <w:p>
            <w:pPr>
              <w:spacing w:line="280" w:lineRule="exact"/>
            </w:pPr>
          </w:p>
        </w:tc>
        <w:tc>
          <w:tcPr>
            <w:tcW w:w="10642" w:type="dxa"/>
            <w:vAlign w:val="center"/>
          </w:tcPr>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查提供有《风险和机遇评价、应对措施记录》，企业制定了如下措施，并进行了措施有效性评价：</w:t>
            </w:r>
          </w:p>
          <w:p>
            <w:pPr>
              <w:numPr>
                <w:ilvl w:val="0"/>
                <w:numId w:val="2"/>
              </w:num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针对</w:t>
            </w:r>
            <w:r>
              <w:rPr>
                <w:rFonts w:hint="eastAsia" w:ascii="宋体" w:hAnsi="宋体" w:cs="宋体"/>
                <w:szCs w:val="21"/>
                <w:lang w:eastAsia="zh-CN"/>
              </w:rPr>
              <w:t>外部供方风险：</w:t>
            </w:r>
            <w:r>
              <w:rPr>
                <w:rFonts w:hint="default" w:ascii="Calibri" w:hAnsi="Calibri" w:cs="Calibri"/>
                <w:szCs w:val="21"/>
                <w:lang w:eastAsia="zh-CN"/>
              </w:rPr>
              <w:t>及时跟进采购物资的进程及质量，避免延迟到货或质量问题对正常办公的影响。</w:t>
            </w:r>
            <w:r>
              <w:rPr>
                <w:rFonts w:hint="eastAsia" w:ascii="Calibri" w:hAnsi="Calibri" w:cs="Calibri"/>
                <w:szCs w:val="21"/>
                <w:lang w:val="en-US" w:eastAsia="zh-CN"/>
              </w:rPr>
              <w:t>。</w:t>
            </w:r>
          </w:p>
          <w:p>
            <w:pPr>
              <w:numPr>
                <w:ilvl w:val="0"/>
                <w:numId w:val="2"/>
              </w:numPr>
              <w:spacing w:line="360" w:lineRule="auto"/>
              <w:ind w:firstLine="420" w:firstLineChars="200"/>
              <w:rPr>
                <w:rFonts w:hint="eastAsia" w:ascii="宋体" w:hAnsi="宋体" w:cs="宋体"/>
                <w:szCs w:val="21"/>
                <w:lang w:val="en-US" w:eastAsia="zh-CN"/>
              </w:rPr>
            </w:pPr>
            <w:r>
              <w:rPr>
                <w:rFonts w:hint="eastAsia" w:ascii="宋体" w:hAnsi="宋体" w:cs="宋体"/>
                <w:szCs w:val="21"/>
                <w:lang w:eastAsia="zh-CN"/>
              </w:rPr>
              <w:t>顾客过程风险：</w:t>
            </w:r>
          </w:p>
          <w:p>
            <w:pPr>
              <w:numPr>
                <w:ilvl w:val="1"/>
                <w:numId w:val="2"/>
              </w:numPr>
              <w:spacing w:line="360" w:lineRule="auto"/>
              <w:ind w:left="420" w:leftChars="0" w:firstLine="420" w:firstLineChars="200"/>
              <w:rPr>
                <w:rFonts w:hint="eastAsia" w:ascii="宋体" w:hAnsi="宋体" w:cs="宋体"/>
                <w:szCs w:val="21"/>
                <w:lang w:val="en-US" w:eastAsia="zh-CN"/>
              </w:rPr>
            </w:pPr>
            <w:r>
              <w:rPr>
                <w:rFonts w:hint="eastAsia" w:ascii="宋体" w:hAnsi="宋体" w:cs="宋体"/>
                <w:szCs w:val="21"/>
                <w:lang w:val="en-US" w:eastAsia="zh-CN"/>
              </w:rPr>
              <w:t>确定顾客推迟原因，另行安排人员。</w:t>
            </w:r>
          </w:p>
          <w:p>
            <w:pPr>
              <w:numPr>
                <w:ilvl w:val="1"/>
                <w:numId w:val="2"/>
              </w:numPr>
              <w:spacing w:line="360" w:lineRule="auto"/>
              <w:ind w:left="420" w:leftChars="0" w:firstLine="420" w:firstLineChars="200"/>
              <w:rPr>
                <w:rFonts w:hint="eastAsia" w:ascii="宋体" w:hAnsi="宋体" w:cs="宋体"/>
                <w:szCs w:val="21"/>
                <w:lang w:val="en-US" w:eastAsia="zh-CN"/>
              </w:rPr>
            </w:pPr>
            <w:r>
              <w:rPr>
                <w:rFonts w:hint="eastAsia" w:ascii="宋体" w:hAnsi="宋体" w:cs="宋体"/>
                <w:szCs w:val="21"/>
                <w:lang w:val="en-US" w:eastAsia="zh-CN"/>
              </w:rPr>
              <w:t>分析损失大小，在损失可以承担的情况下，尽量满足顾客需求。</w:t>
            </w:r>
          </w:p>
          <w:p>
            <w:pPr>
              <w:numPr>
                <w:ilvl w:val="0"/>
                <w:numId w:val="2"/>
              </w:numPr>
              <w:spacing w:line="360" w:lineRule="auto"/>
              <w:ind w:firstLine="420" w:firstLineChars="200"/>
              <w:rPr>
                <w:rFonts w:hint="eastAsia" w:ascii="宋体" w:hAnsi="宋体" w:cs="宋体"/>
                <w:szCs w:val="21"/>
                <w:lang w:val="en-US" w:eastAsia="zh-CN"/>
              </w:rPr>
            </w:pPr>
            <w:r>
              <w:rPr>
                <w:rFonts w:hint="eastAsia" w:ascii="宋体" w:hAnsi="宋体" w:cs="宋体"/>
                <w:szCs w:val="21"/>
                <w:lang w:eastAsia="zh-CN"/>
              </w:rPr>
              <w:t>人员管理过程风险：</w:t>
            </w:r>
          </w:p>
          <w:p>
            <w:pPr>
              <w:pStyle w:val="2"/>
              <w:numPr>
                <w:ilvl w:val="0"/>
                <w:numId w:val="3"/>
              </w:numPr>
              <w:ind w:left="1265" w:leftChars="0" w:hanging="425" w:firstLineChars="0"/>
              <w:rPr>
                <w:rFonts w:hint="eastAsia"/>
                <w:lang w:val="en-US" w:eastAsia="zh-CN"/>
              </w:rPr>
            </w:pPr>
            <w:r>
              <w:rPr>
                <w:rFonts w:hint="eastAsia"/>
                <w:lang w:val="en-US" w:eastAsia="zh-CN"/>
              </w:rPr>
              <w:t>关注员工需求、情绪、困难等，及时排解；</w:t>
            </w:r>
          </w:p>
          <w:p>
            <w:pPr>
              <w:pStyle w:val="2"/>
              <w:numPr>
                <w:ilvl w:val="0"/>
                <w:numId w:val="3"/>
              </w:numPr>
              <w:ind w:left="1265" w:leftChars="0" w:hanging="425" w:firstLineChars="0"/>
              <w:rPr>
                <w:rFonts w:hint="eastAsia"/>
                <w:lang w:val="en-US" w:eastAsia="zh-CN"/>
              </w:rPr>
            </w:pPr>
            <w:r>
              <w:rPr>
                <w:rFonts w:hint="eastAsia"/>
                <w:lang w:val="en-US" w:eastAsia="zh-CN"/>
              </w:rPr>
              <w:t>组织员工体检、关注季节传染病流行，及时预防；</w:t>
            </w:r>
          </w:p>
          <w:p>
            <w:pPr>
              <w:pStyle w:val="2"/>
              <w:numPr>
                <w:ilvl w:val="0"/>
                <w:numId w:val="3"/>
              </w:numPr>
              <w:ind w:left="1265" w:leftChars="0" w:hanging="425" w:firstLineChars="0"/>
              <w:rPr>
                <w:rFonts w:hint="eastAsia"/>
                <w:lang w:val="en-US" w:eastAsia="zh-CN"/>
              </w:rPr>
            </w:pPr>
            <w:r>
              <w:rPr>
                <w:rFonts w:hint="eastAsia"/>
                <w:lang w:val="en-US" w:eastAsia="zh-CN"/>
              </w:rPr>
              <w:t>开展技术、意识、思想及知识更新的学习及培训，关注员工价值、能力、创造力的发挥和展现。</w:t>
            </w:r>
          </w:p>
          <w:p>
            <w:pPr>
              <w:numPr>
                <w:ilvl w:val="0"/>
                <w:numId w:val="2"/>
              </w:numPr>
              <w:spacing w:line="360" w:lineRule="auto"/>
              <w:ind w:firstLine="420" w:firstLineChars="200"/>
            </w:pPr>
            <w:r>
              <w:rPr>
                <w:rFonts w:hint="eastAsia" w:ascii="宋体" w:hAnsi="宋体" w:cs="宋体"/>
                <w:szCs w:val="21"/>
                <w:lang w:eastAsia="zh-CN"/>
              </w:rPr>
              <w:t>基础设施控制过程风险：</w:t>
            </w:r>
          </w:p>
          <w:p>
            <w:pPr>
              <w:numPr>
                <w:ilvl w:val="1"/>
                <w:numId w:val="2"/>
              </w:numPr>
              <w:spacing w:line="360" w:lineRule="auto"/>
              <w:ind w:left="420" w:leftChars="0" w:firstLine="420" w:firstLineChars="200"/>
              <w:rPr>
                <w:rFonts w:hint="default" w:ascii="Calibri" w:hAnsi="Calibri" w:eastAsia="宋体" w:cs="Calibri"/>
                <w:szCs w:val="22"/>
              </w:rPr>
            </w:pPr>
            <w:r>
              <w:rPr>
                <w:rFonts w:hint="default" w:ascii="Calibri" w:hAnsi="Calibri" w:eastAsia="宋体" w:cs="Calibri"/>
                <w:szCs w:val="22"/>
              </w:rPr>
              <w:t>公司配备应急电源；或接到通知，设备停止运行。</w:t>
            </w:r>
          </w:p>
          <w:p>
            <w:pPr>
              <w:numPr>
                <w:ilvl w:val="1"/>
                <w:numId w:val="2"/>
              </w:numPr>
              <w:spacing w:line="360" w:lineRule="auto"/>
              <w:ind w:left="420" w:leftChars="0" w:firstLine="420" w:firstLineChars="200"/>
            </w:pPr>
            <w:r>
              <w:rPr>
                <w:rFonts w:hint="default" w:ascii="Calibri" w:hAnsi="Calibri" w:eastAsia="宋体" w:cs="Calibri"/>
                <w:szCs w:val="22"/>
              </w:rPr>
              <w:t>注意设备设施的检查、维护，确保能随时启动；</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2160"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1012" w:type="dxa"/>
          </w:tcPr>
          <w:p>
            <w:pPr>
              <w:spacing w:line="280" w:lineRule="exact"/>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QE6.2</w:t>
            </w:r>
          </w:p>
          <w:p>
            <w:pPr>
              <w:spacing w:line="280" w:lineRule="exact"/>
              <w:rPr>
                <w:rFonts w:asciiTheme="minorEastAsia" w:hAnsiTheme="minorEastAsia" w:eastAsiaTheme="minorEastAsia" w:cstheme="minorEastAsia"/>
                <w:szCs w:val="21"/>
              </w:rPr>
            </w:pPr>
          </w:p>
        </w:tc>
        <w:tc>
          <w:tcPr>
            <w:tcW w:w="10642" w:type="dxa"/>
            <w:vAlign w:val="center"/>
          </w:tcPr>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公司对管理体系所需的相关职能、层次和过程设定管理目标。</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质量目标：</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1、顾客满意率≥95%</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2、产品交付合格率为100%</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环境目标：</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1、固废分类收集处置率100% </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2、火灾事故零发生</w:t>
            </w:r>
          </w:p>
          <w:p>
            <w:pPr>
              <w:spacing w:line="360" w:lineRule="auto"/>
              <w:ind w:firstLine="420" w:firstLineChars="200"/>
            </w:pPr>
            <w:r>
              <w:rPr>
                <w:rFonts w:hint="eastAsia" w:ascii="宋体" w:hAnsi="宋体" w:cs="宋体"/>
                <w:szCs w:val="21"/>
                <w:lang w:val="en-US" w:eastAsia="zh-CN"/>
              </w:rPr>
              <w:t>目标可测量，与公司管理方针一致。每年由行政人事部按公司管理目标考核要求统计考核公司管理目标完成情况，提交管理评审会议。针对重要环境因素制订了管理方案并予以实施，基本有效。</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5" w:hRule="atLeast"/>
        </w:trPr>
        <w:tc>
          <w:tcPr>
            <w:tcW w:w="2160" w:type="dxa"/>
          </w:tcPr>
          <w:p>
            <w:pPr>
              <w:spacing w:line="280" w:lineRule="exact"/>
              <w:rPr>
                <w:rFonts w:ascii="宋体" w:hAnsi="宋体" w:cs="宋体"/>
                <w:szCs w:val="21"/>
              </w:rPr>
            </w:pPr>
            <w:r>
              <w:rPr>
                <w:rFonts w:hint="eastAsia" w:ascii="宋体" w:hAnsi="宋体" w:cs="宋体"/>
                <w:szCs w:val="21"/>
              </w:rPr>
              <w:t>变更的策划</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Q6.3</w:t>
            </w:r>
          </w:p>
          <w:p>
            <w:pPr>
              <w:pStyle w:val="2"/>
            </w:pPr>
          </w:p>
        </w:tc>
        <w:tc>
          <w:tcPr>
            <w:tcW w:w="10642" w:type="dxa"/>
            <w:vAlign w:val="center"/>
          </w:tcPr>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与总经理沟通，当外部环境（如政策法规、技术、竞争、经济、自然环境等）和内部环境（如组织结构、战略、承诺、价值观、资源、文化等）发生重大变化，可能影响质量、环境和职业健康安全管理体系的运行或对经营活动带来一定风险时，总经理组织对质量、环境和职业健康安全管理体系进行变更策划，变更应依据管理手册4.4的要求策划并系统地实施，策划时应考虑到：变更目的及其潜在后果；质量、环境和职业健康安全管理体系的完整性；资源的可获得性；责任和权限的分配或再分配。</w:t>
            </w:r>
          </w:p>
          <w:p>
            <w:pPr>
              <w:spacing w:line="360" w:lineRule="auto"/>
              <w:ind w:firstLine="420" w:firstLineChars="200"/>
              <w:rPr>
                <w:rFonts w:ascii="宋体" w:hAnsi="宋体" w:cs="宋体"/>
                <w:szCs w:val="21"/>
              </w:rPr>
            </w:pPr>
            <w:r>
              <w:rPr>
                <w:rFonts w:hint="eastAsia" w:ascii="宋体" w:hAnsi="宋体" w:cs="宋体"/>
                <w:szCs w:val="21"/>
                <w:lang w:val="en-US" w:eastAsia="zh-CN"/>
              </w:rPr>
              <w:t>公司目前暂无变更。</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spacing w:line="280" w:lineRule="exact"/>
              <w:rPr>
                <w:rFonts w:ascii="宋体" w:hAnsi="宋体" w:cs="宋体"/>
                <w:szCs w:val="21"/>
              </w:rPr>
            </w:pPr>
            <w:r>
              <w:rPr>
                <w:rFonts w:hint="eastAsia" w:ascii="宋体" w:hAnsi="宋体" w:cs="宋体"/>
                <w:szCs w:val="21"/>
              </w:rPr>
              <w:t>资源、总则</w:t>
            </w:r>
          </w:p>
          <w:p>
            <w:pPr>
              <w:spacing w:line="280" w:lineRule="exact"/>
              <w:rPr>
                <w:rFonts w:ascii="宋体" w:hAnsi="宋体" w:cs="宋体"/>
                <w:szCs w:val="21"/>
              </w:rPr>
            </w:pPr>
          </w:p>
        </w:tc>
        <w:tc>
          <w:tcPr>
            <w:tcW w:w="1012" w:type="dxa"/>
          </w:tcPr>
          <w:p>
            <w:pPr>
              <w:spacing w:line="280" w:lineRule="exact"/>
              <w:rPr>
                <w:rFonts w:hint="eastAsia"/>
                <w:szCs w:val="21"/>
                <w:highlight w:val="none"/>
                <w:lang w:val="en-US" w:eastAsia="zh-CN"/>
              </w:rPr>
            </w:pPr>
            <w:r>
              <w:rPr>
                <w:rFonts w:hint="eastAsia"/>
                <w:szCs w:val="21"/>
                <w:highlight w:val="none"/>
              </w:rPr>
              <w:t>Q</w:t>
            </w:r>
            <w:r>
              <w:rPr>
                <w:rFonts w:hint="eastAsia"/>
                <w:szCs w:val="21"/>
                <w:highlight w:val="none"/>
                <w:lang w:val="en-US" w:eastAsia="zh-CN"/>
              </w:rPr>
              <w:t>7.1</w:t>
            </w:r>
          </w:p>
          <w:p>
            <w:pPr>
              <w:spacing w:line="280" w:lineRule="exact"/>
              <w:rPr>
                <w:szCs w:val="21"/>
                <w:highlight w:val="none"/>
              </w:rPr>
            </w:pPr>
            <w:r>
              <w:rPr>
                <w:rFonts w:hint="eastAsia"/>
                <w:szCs w:val="21"/>
                <w:highlight w:val="none"/>
              </w:rPr>
              <w:t>E7.1</w:t>
            </w:r>
          </w:p>
          <w:p>
            <w:pPr>
              <w:spacing w:line="280" w:lineRule="exact"/>
            </w:pPr>
          </w:p>
        </w:tc>
        <w:tc>
          <w:tcPr>
            <w:tcW w:w="10642" w:type="dxa"/>
            <w:vAlign w:val="center"/>
          </w:tcPr>
          <w:p>
            <w:pPr>
              <w:spacing w:line="360" w:lineRule="auto"/>
              <w:ind w:firstLine="420" w:firstLineChars="200"/>
              <w:rPr>
                <w:rFonts w:hint="eastAsia"/>
                <w:lang w:val="en-US" w:eastAsia="zh-CN"/>
              </w:rPr>
            </w:pPr>
            <w:r>
              <w:rPr>
                <w:rFonts w:hint="eastAsia"/>
                <w:lang w:val="en-US" w:eastAsia="zh-CN"/>
              </w:rPr>
              <w:t>查公司配备了必要的人力资源，基础设施，规范文件、资金等必要的资源，能够持续满足顾客需求和管理体系改进的需要。</w:t>
            </w:r>
          </w:p>
          <w:p>
            <w:pPr>
              <w:spacing w:line="360" w:lineRule="auto"/>
              <w:ind w:firstLine="420" w:firstLineChars="200"/>
              <w:rPr>
                <w:rFonts w:hint="default"/>
                <w:lang w:val="en-US" w:eastAsia="zh-CN"/>
              </w:rPr>
            </w:pPr>
            <w:r>
              <w:rPr>
                <w:rFonts w:hint="eastAsia"/>
                <w:lang w:val="en-US" w:eastAsia="zh-CN"/>
              </w:rPr>
              <w:t>部门：行政人事部、技术部、市场营销部、财务部</w:t>
            </w:r>
          </w:p>
          <w:p>
            <w:pPr>
              <w:spacing w:line="360" w:lineRule="auto"/>
              <w:ind w:firstLine="420" w:firstLineChars="200"/>
              <w:rPr>
                <w:rFonts w:hint="default"/>
                <w:lang w:val="en-US" w:eastAsia="zh-CN"/>
              </w:rPr>
            </w:pPr>
            <w:r>
              <w:rPr>
                <w:rFonts w:hint="eastAsia"/>
                <w:lang w:val="en-US" w:eastAsia="zh-CN"/>
              </w:rPr>
              <w:t>人员：办公人员、业务人员、销售人员、财务人员、设计人员</w:t>
            </w:r>
          </w:p>
          <w:p>
            <w:pPr>
              <w:spacing w:line="360" w:lineRule="auto"/>
              <w:ind w:firstLine="420" w:firstLineChars="200"/>
              <w:rPr>
                <w:rFonts w:hint="eastAsia"/>
                <w:lang w:val="en-US" w:eastAsia="zh-CN"/>
              </w:rPr>
            </w:pPr>
            <w:r>
              <w:rPr>
                <w:rFonts w:hint="eastAsia"/>
                <w:lang w:val="en-US" w:eastAsia="zh-CN"/>
              </w:rPr>
              <w:t xml:space="preserve">办公设备：电脑、工控机、电话、打印机等     </w:t>
            </w:r>
          </w:p>
          <w:p>
            <w:pPr>
              <w:spacing w:line="360" w:lineRule="auto"/>
              <w:ind w:firstLine="420" w:firstLineChars="200"/>
              <w:rPr>
                <w:rFonts w:hint="default"/>
                <w:lang w:val="en-US" w:eastAsia="zh-CN"/>
              </w:rPr>
            </w:pPr>
            <w:r>
              <w:rPr>
                <w:rFonts w:hint="eastAsia"/>
                <w:lang w:val="en-US" w:eastAsia="zh-CN"/>
              </w:rPr>
              <w:t>软件：AUTOCAD</w:t>
            </w:r>
          </w:p>
          <w:p>
            <w:pPr>
              <w:spacing w:line="360" w:lineRule="auto"/>
              <w:ind w:firstLine="420" w:firstLineChars="200"/>
              <w:rPr>
                <w:rFonts w:hint="eastAsia"/>
                <w:lang w:val="en-US" w:eastAsia="zh-CN"/>
              </w:rPr>
            </w:pPr>
            <w:r>
              <w:rPr>
                <w:rFonts w:hint="eastAsia"/>
                <w:lang w:val="en-US" w:eastAsia="zh-CN"/>
              </w:rPr>
              <w:t>环保设备：垃圾桶、灭火器等</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7" w:hRule="atLeast"/>
        </w:trPr>
        <w:tc>
          <w:tcPr>
            <w:tcW w:w="2160" w:type="dxa"/>
            <w:vAlign w:val="center"/>
          </w:tcPr>
          <w:p>
            <w:pPr>
              <w:rPr>
                <w:rFonts w:ascii="宋体" w:hAnsi="宋体" w:cs="宋体"/>
                <w:szCs w:val="21"/>
              </w:rPr>
            </w:pPr>
            <w:r>
              <w:rPr>
                <w:rFonts w:hint="eastAsia" w:asciiTheme="minorEastAsia" w:hAnsiTheme="minorEastAsia" w:eastAsiaTheme="minorEastAsia" w:cstheme="minorEastAsia"/>
                <w:szCs w:val="21"/>
              </w:rPr>
              <w:t>绩效测量和监视</w:t>
            </w:r>
          </w:p>
        </w:tc>
        <w:tc>
          <w:tcPr>
            <w:tcW w:w="1012" w:type="dxa"/>
            <w:vAlign w:val="center"/>
          </w:tcPr>
          <w:p>
            <w:pPr>
              <w:rPr>
                <w:rFonts w:asciiTheme="minorEastAsia" w:hAnsiTheme="minorEastAsia" w:eastAsiaTheme="minorEastAsia" w:cstheme="minorEastAsia"/>
                <w:szCs w:val="21"/>
              </w:rPr>
            </w:pPr>
            <w:r>
              <w:rPr>
                <w:rFonts w:hint="eastAsia" w:asciiTheme="minorEastAsia" w:hAnsiTheme="minorEastAsia" w:eastAsiaTheme="minorEastAsia" w:cstheme="minorEastAsia"/>
                <w:szCs w:val="21"/>
              </w:rPr>
              <w:t>QE</w:t>
            </w:r>
          </w:p>
          <w:p>
            <w:pPr>
              <w:rPr>
                <w:rFonts w:hint="default" w:asciiTheme="minorEastAsia" w:hAnsiTheme="minorEastAsia" w:eastAsiaTheme="minorEastAsia" w:cstheme="minorEastAsia"/>
                <w:szCs w:val="21"/>
                <w:lang w:val="en-US" w:eastAsia="zh-CN"/>
              </w:rPr>
            </w:pPr>
            <w:r>
              <w:rPr>
                <w:rFonts w:hint="eastAsia" w:asciiTheme="minorEastAsia" w:hAnsiTheme="minorEastAsia" w:eastAsiaTheme="minorEastAsia" w:cstheme="minorEastAsia"/>
                <w:szCs w:val="21"/>
              </w:rPr>
              <w:t>9.1</w:t>
            </w:r>
            <w:r>
              <w:rPr>
                <w:rFonts w:hint="eastAsia" w:asciiTheme="minorEastAsia" w:hAnsiTheme="minorEastAsia" w:eastAsiaTheme="minorEastAsia" w:cstheme="minorEastAsia"/>
                <w:szCs w:val="21"/>
                <w:lang w:val="en-US" w:eastAsia="zh-CN"/>
              </w:rPr>
              <w:t>.1</w:t>
            </w:r>
          </w:p>
          <w:p/>
        </w:tc>
        <w:tc>
          <w:tcPr>
            <w:tcW w:w="10642" w:type="dxa"/>
            <w:vAlign w:val="center"/>
          </w:tcPr>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公司编制了《顾客满意控制程序》（DZDQ-CX-15-A/0），对产品的质量特性进行监视和测量，以验证其符合要求的程度，确保服务符合要求。</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公司制定《绩效的监视和测量控制程序》（DZDQ-CX-18-A/0）、《内部审核控制程序》（DZDQ-CX-16-A/0）、《管理评审控制程序》（DZDQ-CX-06-A/0），为保证公司质量管理体系的有效运行，通过对管理绩效的监视与测量，确保体系运行的有效性。</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行政人事部提供了质量、环境目标、目标、指标管理方案，规定了分解部门，分解值与采取的措施，考核频次为每半年。</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抽查质量目标完成情况、管理目标完成情况报告，目标均完成。</w:t>
            </w:r>
          </w:p>
          <w:p>
            <w:pPr>
              <w:spacing w:line="360" w:lineRule="auto"/>
              <w:ind w:firstLine="420" w:firstLineChars="200"/>
              <w:rPr>
                <w:rFonts w:ascii="宋体" w:hAnsi="宋体"/>
                <w:szCs w:val="21"/>
              </w:rPr>
            </w:pPr>
            <w:r>
              <w:rPr>
                <w:rFonts w:hint="eastAsia" w:ascii="宋体" w:hAnsi="宋体" w:cs="宋体"/>
                <w:szCs w:val="21"/>
                <w:lang w:val="en-US" w:eastAsia="zh-CN"/>
              </w:rPr>
              <w:t>目前未发现公司出现违规现象。</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8" w:hRule="atLeast"/>
        </w:trPr>
        <w:tc>
          <w:tcPr>
            <w:tcW w:w="2160" w:type="dxa"/>
          </w:tcPr>
          <w:p>
            <w:pPr>
              <w:spacing w:line="280" w:lineRule="exact"/>
              <w:rPr>
                <w:rFonts w:ascii="宋体" w:hAnsi="宋体" w:cs="宋体"/>
                <w:szCs w:val="21"/>
              </w:rPr>
            </w:pPr>
            <w:r>
              <w:rPr>
                <w:rFonts w:hint="eastAsia" w:ascii="宋体" w:hAnsi="宋体" w:cs="宋体"/>
                <w:szCs w:val="21"/>
              </w:rPr>
              <w:t>管理评审</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QE</w:t>
            </w:r>
          </w:p>
          <w:p>
            <w:pPr>
              <w:spacing w:line="280" w:lineRule="exact"/>
              <w:rPr>
                <w:szCs w:val="21"/>
              </w:rPr>
            </w:pPr>
            <w:r>
              <w:rPr>
                <w:rFonts w:hint="eastAsia"/>
                <w:szCs w:val="21"/>
              </w:rPr>
              <w:t>9.3</w:t>
            </w:r>
          </w:p>
          <w:p>
            <w:pPr>
              <w:spacing w:line="280" w:lineRule="exact"/>
              <w:rPr>
                <w:szCs w:val="21"/>
              </w:rPr>
            </w:pPr>
          </w:p>
          <w:p>
            <w:pPr>
              <w:spacing w:line="280" w:lineRule="exact"/>
              <w:rPr>
                <w:szCs w:val="21"/>
              </w:rPr>
            </w:pPr>
          </w:p>
          <w:p>
            <w:pPr>
              <w:spacing w:line="280" w:lineRule="exact"/>
            </w:pPr>
          </w:p>
        </w:tc>
        <w:tc>
          <w:tcPr>
            <w:tcW w:w="10642" w:type="dxa"/>
            <w:vAlign w:val="center"/>
          </w:tcPr>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查编制有《管理评审控制程序》（QJ-CX-23-2020），</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提供：</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1.管理评审计划，</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评审时间：计划2021年5月20日进行，编制（行政人事部）：王荣刚批准（总经理）：张峰彬  日期：2021年5月7日</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参加人员包括总经理、管理者代表、行政人事部、技术部、市场营销部、财务部、员工代表等，计划中明确了评审内容和资料准备要求。</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2.管理评审内容：</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a）以往管理评审所采取措施的实施情况（本次无）； </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b）与管理体系相关的内外部因素的变化；包括合规义务，重要环境因素；</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c）有关管理体系绩效和有效性的信息，包括下列趋势性信息： </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   1）顾客满意和相关方的反馈，包括抱怨； </w:t>
            </w:r>
          </w:p>
          <w:p>
            <w:pPr>
              <w:spacing w:line="360" w:lineRule="auto"/>
              <w:ind w:leftChars="100"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2）目标的实现程度； </w:t>
            </w:r>
          </w:p>
          <w:p>
            <w:pPr>
              <w:spacing w:line="360" w:lineRule="auto"/>
              <w:ind w:leftChars="100"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3）过程绩效以及产品和服务的符合性； </w:t>
            </w:r>
          </w:p>
          <w:p>
            <w:pPr>
              <w:spacing w:line="360" w:lineRule="auto"/>
              <w:ind w:leftChars="100"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4）不合格以及纠正措施； </w:t>
            </w:r>
          </w:p>
          <w:p>
            <w:pPr>
              <w:spacing w:line="360" w:lineRule="auto"/>
              <w:ind w:leftChars="100" w:firstLine="420" w:firstLineChars="200"/>
              <w:rPr>
                <w:rFonts w:hint="eastAsia" w:ascii="宋体" w:hAnsi="宋体" w:cs="宋体"/>
                <w:szCs w:val="21"/>
                <w:lang w:val="en-US" w:eastAsia="zh-CN"/>
              </w:rPr>
            </w:pPr>
            <w:r>
              <w:rPr>
                <w:rFonts w:hint="eastAsia" w:ascii="宋体" w:hAnsi="宋体" w:cs="宋体"/>
                <w:szCs w:val="21"/>
                <w:lang w:val="en-US" w:eastAsia="zh-CN"/>
              </w:rPr>
              <w:t>5）监视和测量结果；</w:t>
            </w:r>
          </w:p>
          <w:p>
            <w:pPr>
              <w:spacing w:line="360" w:lineRule="auto"/>
              <w:ind w:leftChars="100"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6）审核结果； </w:t>
            </w:r>
          </w:p>
          <w:p>
            <w:pPr>
              <w:spacing w:line="360" w:lineRule="auto"/>
              <w:ind w:leftChars="100"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7）外部供方的绩效。 </w:t>
            </w:r>
          </w:p>
          <w:p>
            <w:pPr>
              <w:spacing w:line="360" w:lineRule="auto"/>
              <w:ind w:leftChars="100"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8）资源的充分性； </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 xml:space="preserve">d）应对风险和机遇所采取措施的有效性； </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e）持续改进的机会。</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3.总经理作会议总结。提供管理评审报告。</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1）管理评审结论：公司QES管理体系运行情况充分体现了QES管理体系标准是适宜于公司管理体系运行实际的，适宜于公司高低压成套设备、自动化控制设备的设计、销售的过程；公司配置了必要的资源，公司QES管理体系涉及管理过程、资源管理过程、、产品实现过程、服务过程、改进过程充分识别并有效实施控制，都表明公司的QES管理体系是适宜的、充分的，满足QES管理体系运行的基本要求。</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2）改进建议：</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提高高低压成套设备、自动化控制设备的设计、销售质量、提高工作效率；强化学习公司管理体系文件要求，使员工加深理解了公司QES管理体系运行、保持和持续改进的基本要求，整体提高公司的管理水平和市场竞争力，提升公司品牌形象。</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环境和职业健康安全管理体系与公司经营管理相结合，将环境和职业健康安全管理体系，运行的检查与指导纳入各部门月度目标考核中，强化过程管理，保证体系正常运行。</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技术部人员欠缺，计划招聘3-5名技术人员，增强技术服务质量，使客户满意。</w:t>
            </w:r>
          </w:p>
          <w:p>
            <w:pPr>
              <w:spacing w:line="360" w:lineRule="auto"/>
              <w:ind w:firstLine="420" w:firstLineChars="200"/>
              <w:rPr>
                <w:rFonts w:hint="eastAsia"/>
              </w:rPr>
            </w:pPr>
            <w:r>
              <w:rPr>
                <w:rFonts w:hint="eastAsia" w:ascii="宋体" w:hAnsi="宋体" w:cs="宋体"/>
                <w:szCs w:val="21"/>
                <w:lang w:val="en-US" w:eastAsia="zh-CN"/>
              </w:rPr>
              <w:t>3）改进措施：管理评审会后由行政人事部部负责安排组织公司管理体系文件培训学习；有关专业知识的培训，由技术部负责组织，并将计划报行政人事部。招聘人员由行政人事部和技术部负责寻找人才信息，面试考核。</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5" w:hRule="atLeast"/>
        </w:trPr>
        <w:tc>
          <w:tcPr>
            <w:tcW w:w="2160" w:type="dxa"/>
          </w:tcPr>
          <w:p>
            <w:pPr>
              <w:spacing w:line="280" w:lineRule="exact"/>
              <w:rPr>
                <w:rFonts w:ascii="宋体" w:hAnsi="宋体" w:cs="宋体"/>
                <w:szCs w:val="21"/>
              </w:rPr>
            </w:pPr>
            <w:r>
              <w:rPr>
                <w:rFonts w:hint="eastAsia" w:ascii="宋体" w:hAnsi="宋体" w:cs="宋体"/>
                <w:szCs w:val="21"/>
              </w:rPr>
              <w:t>总则</w:t>
            </w:r>
          </w:p>
          <w:p>
            <w:pPr>
              <w:spacing w:line="280" w:lineRule="exact"/>
              <w:rPr>
                <w:rFonts w:ascii="宋体" w:hAnsi="宋体" w:cs="宋体"/>
                <w:szCs w:val="21"/>
              </w:rPr>
            </w:pPr>
          </w:p>
        </w:tc>
        <w:tc>
          <w:tcPr>
            <w:tcW w:w="1012" w:type="dxa"/>
          </w:tcPr>
          <w:p>
            <w:pPr>
              <w:spacing w:line="280" w:lineRule="exact"/>
              <w:rPr>
                <w:szCs w:val="21"/>
              </w:rPr>
            </w:pPr>
            <w:r>
              <w:rPr>
                <w:rFonts w:hint="eastAsia"/>
                <w:szCs w:val="21"/>
              </w:rPr>
              <w:t>QE10.1</w:t>
            </w:r>
          </w:p>
          <w:p>
            <w:pPr>
              <w:spacing w:line="280" w:lineRule="exact"/>
            </w:pPr>
          </w:p>
        </w:tc>
        <w:tc>
          <w:tcPr>
            <w:tcW w:w="10642" w:type="dxa"/>
          </w:tcPr>
          <w:p>
            <w:pPr>
              <w:spacing w:line="360" w:lineRule="auto"/>
              <w:ind w:firstLine="420" w:firstLineChars="200"/>
              <w:rPr>
                <w:rFonts w:ascii="宋体" w:hAnsi="宋体" w:cs="宋体"/>
                <w:szCs w:val="21"/>
              </w:rPr>
            </w:pPr>
            <w:r>
              <w:rPr>
                <w:rFonts w:hint="eastAsia" w:ascii="宋体" w:hAnsi="宋体" w:cs="宋体"/>
                <w:szCs w:val="21"/>
                <w:lang w:val="en-US" w:eastAsia="zh-CN"/>
              </w:rPr>
              <w:t xml:space="preserve">行政人事部审核证据认为公司管理体系方针、目标、内部审核、管理评审、不合格和纠正措施各项要求得到落实，相关管理活动得到有效开展，体现了持续改进的要求及改进产品和产品来满足未来的需要和期望。考虑了分析、评价结果及管理评审的输出，并确定了对存在应关注的持续改进的需求和机遇。  </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0" w:hRule="atLeast"/>
        </w:trPr>
        <w:tc>
          <w:tcPr>
            <w:tcW w:w="2160" w:type="dxa"/>
          </w:tcPr>
          <w:p>
            <w:pPr>
              <w:spacing w:line="280" w:lineRule="exact"/>
              <w:rPr>
                <w:rFonts w:ascii="宋体" w:hAnsi="宋体" w:cs="宋体"/>
                <w:szCs w:val="21"/>
              </w:rPr>
            </w:pPr>
            <w:r>
              <w:rPr>
                <w:rFonts w:hint="eastAsia" w:ascii="宋体" w:hAnsi="宋体" w:cs="宋体"/>
                <w:szCs w:val="21"/>
              </w:rPr>
              <w:t>持续改进</w:t>
            </w:r>
          </w:p>
        </w:tc>
        <w:tc>
          <w:tcPr>
            <w:tcW w:w="1012" w:type="dxa"/>
          </w:tcPr>
          <w:p>
            <w:pPr>
              <w:spacing w:line="280" w:lineRule="exact"/>
              <w:rPr>
                <w:szCs w:val="21"/>
              </w:rPr>
            </w:pPr>
            <w:r>
              <w:rPr>
                <w:rFonts w:hint="eastAsia"/>
                <w:szCs w:val="21"/>
              </w:rPr>
              <w:t>QE</w:t>
            </w:r>
          </w:p>
          <w:p>
            <w:pPr>
              <w:spacing w:line="280" w:lineRule="exact"/>
              <w:rPr>
                <w:szCs w:val="21"/>
              </w:rPr>
            </w:pPr>
            <w:r>
              <w:rPr>
                <w:rFonts w:hint="eastAsia"/>
                <w:szCs w:val="21"/>
              </w:rPr>
              <w:t>10.3</w:t>
            </w:r>
          </w:p>
        </w:tc>
        <w:tc>
          <w:tcPr>
            <w:tcW w:w="10642" w:type="dxa"/>
            <w:vAlign w:val="center"/>
          </w:tcPr>
          <w:p>
            <w:pPr>
              <w:spacing w:line="360" w:lineRule="auto"/>
              <w:ind w:firstLine="420" w:firstLineChars="200"/>
              <w:rPr>
                <w:rFonts w:hint="eastAsia" w:ascii="宋体" w:hAnsi="宋体" w:cs="宋体"/>
                <w:szCs w:val="21"/>
                <w:lang w:val="en-US" w:eastAsia="zh-CN"/>
              </w:rPr>
            </w:pPr>
            <w:r>
              <w:rPr>
                <w:rFonts w:hint="eastAsia" w:ascii="宋体" w:hAnsi="宋体" w:cs="宋体"/>
                <w:szCs w:val="21"/>
              </w:rPr>
              <w:t>为</w:t>
            </w:r>
            <w:r>
              <w:rPr>
                <w:rFonts w:hint="eastAsia" w:ascii="宋体" w:hAnsi="宋体" w:cs="宋体"/>
                <w:szCs w:val="21"/>
                <w:lang w:val="en-US" w:eastAsia="zh-CN"/>
              </w:rPr>
              <w:t>使质量/环境管理体系实现预期结果和提高顾客满意，公司识别并选择改进的机会，采取包括改进产品和服务，纠正、预防或减少非预期情况给组织带来的不利影响等措施，改进体系的绩效和有效性。</w:t>
            </w:r>
          </w:p>
          <w:p>
            <w:pPr>
              <w:spacing w:line="360" w:lineRule="auto"/>
              <w:ind w:firstLine="420" w:firstLineChars="200"/>
              <w:rPr>
                <w:rFonts w:hint="eastAsia" w:ascii="宋体" w:hAnsi="宋体" w:cs="宋体"/>
                <w:szCs w:val="21"/>
                <w:lang w:val="en-US" w:eastAsia="zh-CN"/>
              </w:rPr>
            </w:pPr>
            <w:r>
              <w:rPr>
                <w:rFonts w:hint="eastAsia" w:ascii="宋体" w:hAnsi="宋体" w:cs="宋体"/>
                <w:szCs w:val="21"/>
                <w:lang w:val="en-US" w:eastAsia="zh-CN"/>
              </w:rPr>
              <w:t>根据不同过程、不同产品和不同要求，采取不同的方法进行监视、测量和分析。</w:t>
            </w:r>
          </w:p>
          <w:p>
            <w:pPr>
              <w:spacing w:line="360" w:lineRule="auto"/>
              <w:ind w:firstLine="420" w:firstLineChars="200"/>
              <w:rPr>
                <w:rFonts w:ascii="宋体" w:hAnsi="宋体" w:cs="宋体"/>
                <w:szCs w:val="21"/>
              </w:rPr>
            </w:pPr>
            <w:r>
              <w:rPr>
                <w:rFonts w:hint="eastAsia" w:ascii="宋体" w:hAnsi="宋体" w:cs="宋体"/>
                <w:szCs w:val="21"/>
                <w:lang w:val="en-US" w:eastAsia="zh-CN"/>
              </w:rPr>
              <w:t>公司利用管理方针、目标、内审和外审、数据分析、纠正和预防措施以及管理评审，识别任何改进的机会，持续改进管理体系的适宜性、充分性和有效性。详见相关条款审核记录。</w:t>
            </w:r>
          </w:p>
        </w:tc>
        <w:tc>
          <w:tcPr>
            <w:tcW w:w="89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1" w:hRule="atLeast"/>
        </w:trPr>
        <w:tc>
          <w:tcPr>
            <w:tcW w:w="2160" w:type="dxa"/>
          </w:tcPr>
          <w:p>
            <w:pPr>
              <w:spacing w:line="280" w:lineRule="exact"/>
              <w:rPr>
                <w:rFonts w:ascii="宋体" w:hAnsi="宋体" w:cs="宋体"/>
                <w:szCs w:val="21"/>
              </w:rPr>
            </w:pPr>
            <w:r>
              <w:rPr>
                <w:rFonts w:hint="eastAsia" w:ascii="宋体" w:hAnsi="宋体" w:cs="宋体"/>
                <w:szCs w:val="21"/>
              </w:rPr>
              <w:t>一阶段问题验证/投诉或事故/政府主管部门监督抽查情况</w:t>
            </w:r>
          </w:p>
        </w:tc>
        <w:tc>
          <w:tcPr>
            <w:tcW w:w="1012" w:type="dxa"/>
          </w:tcPr>
          <w:p>
            <w:pPr>
              <w:spacing w:line="280" w:lineRule="exact"/>
            </w:pPr>
          </w:p>
        </w:tc>
        <w:tc>
          <w:tcPr>
            <w:tcW w:w="10642" w:type="dxa"/>
            <w:vAlign w:val="center"/>
          </w:tcPr>
          <w:p>
            <w:pPr>
              <w:spacing w:line="360" w:lineRule="auto"/>
              <w:ind w:firstLine="420" w:firstLineChars="200"/>
              <w:rPr>
                <w:rFonts w:hint="default" w:ascii="宋体" w:hAnsi="宋体" w:cs="宋体"/>
                <w:szCs w:val="21"/>
                <w:lang w:val="en-US" w:eastAsia="zh-CN"/>
              </w:rPr>
            </w:pPr>
            <w:r>
              <w:rPr>
                <w:rFonts w:hint="eastAsia" w:ascii="宋体" w:hAnsi="宋体" w:cs="宋体"/>
                <w:szCs w:val="21"/>
                <w:lang w:val="en-US" w:eastAsia="zh-CN"/>
              </w:rPr>
              <w:t>查</w:t>
            </w:r>
            <w:r>
              <w:rPr>
                <w:rFonts w:hint="eastAsia" w:ascii="宋体" w:hAnsi="宋体" w:cs="宋体"/>
                <w:szCs w:val="21"/>
              </w:rPr>
              <w:t>一阶段问题</w:t>
            </w:r>
            <w:r>
              <w:rPr>
                <w:rFonts w:hint="eastAsia" w:ascii="宋体" w:hAnsi="宋体" w:cs="宋体"/>
                <w:szCs w:val="21"/>
                <w:lang w:val="en-US" w:eastAsia="zh-CN"/>
              </w:rPr>
              <w:t>已整改</w:t>
            </w:r>
          </w:p>
          <w:p>
            <w:pPr>
              <w:spacing w:line="360" w:lineRule="auto"/>
              <w:ind w:firstLine="420" w:firstLineChars="200"/>
              <w:rPr>
                <w:rFonts w:hint="eastAsia" w:ascii="宋体" w:hAnsi="宋体" w:cs="宋体"/>
                <w:szCs w:val="21"/>
              </w:rPr>
            </w:pPr>
            <w:r>
              <w:rPr>
                <w:rFonts w:hint="eastAsia" w:ascii="宋体" w:hAnsi="宋体" w:cs="宋体"/>
                <w:szCs w:val="21"/>
              </w:rPr>
              <w:t>公司管理体系自运行以来，未发生质量、环境、职业健康安全事故</w:t>
            </w:r>
          </w:p>
          <w:p>
            <w:pPr>
              <w:spacing w:line="360" w:lineRule="auto"/>
              <w:ind w:firstLine="420" w:firstLineChars="200"/>
              <w:rPr>
                <w:rFonts w:hint="eastAsia" w:ascii="宋体" w:hAnsi="宋体" w:cs="宋体"/>
                <w:szCs w:val="21"/>
              </w:rPr>
            </w:pPr>
            <w:r>
              <w:rPr>
                <w:rFonts w:hint="eastAsia" w:ascii="宋体" w:hAnsi="宋体" w:cs="宋体"/>
                <w:szCs w:val="21"/>
              </w:rPr>
              <w:t>管理体系运行期间未发生顾客及相关方投诉情况</w:t>
            </w:r>
          </w:p>
          <w:p>
            <w:pPr>
              <w:spacing w:line="360" w:lineRule="auto"/>
              <w:ind w:firstLine="420" w:firstLineChars="200"/>
              <w:rPr>
                <w:rFonts w:hint="eastAsia" w:ascii="宋体" w:hAnsi="宋体" w:cs="宋体"/>
                <w:szCs w:val="21"/>
              </w:rPr>
            </w:pPr>
            <w:r>
              <w:rPr>
                <w:rFonts w:hint="eastAsia" w:ascii="宋体" w:hAnsi="宋体" w:cs="宋体"/>
                <w:szCs w:val="21"/>
              </w:rPr>
              <w:t>目前没有上级主管部门对公司的在质量、环境、职业健康安全监督抽查</w:t>
            </w:r>
          </w:p>
          <w:p>
            <w:pPr>
              <w:spacing w:line="360" w:lineRule="auto"/>
              <w:ind w:firstLine="420" w:firstLineChars="200"/>
            </w:pPr>
            <w:r>
              <w:rPr>
                <w:rFonts w:hint="eastAsia" w:ascii="宋体" w:hAnsi="宋体" w:cs="宋体"/>
                <w:szCs w:val="21"/>
              </w:rPr>
              <w:t>目前公司经营过程中没有发生违反相关法律法规及其他要求的情况</w:t>
            </w:r>
          </w:p>
        </w:tc>
        <w:tc>
          <w:tcPr>
            <w:tcW w:w="895" w:type="dxa"/>
          </w:tcPr>
          <w:p/>
        </w:tc>
      </w:tr>
    </w:tbl>
    <w:p>
      <w:r>
        <w:ptab w:relativeTo="margin" w:alignment="center" w:leader="none"/>
      </w:r>
    </w:p>
    <w:p/>
    <w:p/>
    <w:p>
      <w:pPr>
        <w:pStyle w:val="5"/>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10</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10</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2"/>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2"/>
        <w:rFonts w:hint="default"/>
      </w:rPr>
      <w:t>北京国标联合认证有限公司</w:t>
    </w:r>
    <w:r>
      <w:rPr>
        <w:rStyle w:val="12"/>
        <w:rFonts w:hint="default"/>
      </w:rPr>
      <w:tab/>
    </w:r>
    <w:r>
      <w:rPr>
        <w:rStyle w:val="12"/>
        <w:rFonts w:hint="default"/>
      </w:rPr>
      <w:tab/>
    </w:r>
    <w:r>
      <w:rPr>
        <w:rStyle w:val="12"/>
        <w:rFonts w:hint="default"/>
      </w:rPr>
      <w:tab/>
    </w:r>
  </w:p>
  <w:p>
    <w:pPr>
      <w:pStyle w:val="6"/>
      <w:pBdr>
        <w:bottom w:val="none" w:color="auto" w:sz="0" w:space="1"/>
      </w:pBdr>
      <w:spacing w:line="320" w:lineRule="exact"/>
      <w:jc w:val="left"/>
    </w:pPr>
    <w:r>
      <mc:AlternateContent>
        <mc:Choice Requires="wps">
          <w:drawing>
            <wp:anchor distT="0" distB="0" distL="114300" distR="114300" simplePos="0" relativeHeight="251661312" behindDoc="0" locked="0" layoutInCell="1" allowOverlap="1">
              <wp:simplePos x="0" y="0"/>
              <wp:positionH relativeFrom="column">
                <wp:posOffset>7045325</wp:posOffset>
              </wp:positionH>
              <wp:positionV relativeFrom="paragraph">
                <wp:posOffset>27940</wp:posOffset>
              </wp:positionV>
              <wp:extent cx="2184400" cy="256540"/>
              <wp:effectExtent l="0" t="0" r="635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ISC-B-I-</w:t>
                          </w:r>
                          <w:r>
                            <w:rPr>
                              <w:sz w:val="18"/>
                              <w:szCs w:val="18"/>
                            </w:rPr>
                            <w:t>31</w:t>
                          </w:r>
                          <w:r>
                            <w:rPr>
                              <w:rFonts w:hint="eastAsia"/>
                              <w:sz w:val="18"/>
                              <w:szCs w:val="18"/>
                            </w:rPr>
                            <w:t xml:space="preserve"> 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1312;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ISC-B-I-</w:t>
                    </w:r>
                    <w:r>
                      <w:rPr>
                        <w:sz w:val="18"/>
                        <w:szCs w:val="18"/>
                      </w:rPr>
                      <w:t>31</w:t>
                    </w:r>
                    <w:r>
                      <w:rPr>
                        <w:rFonts w:hint="eastAsia"/>
                        <w:sz w:val="18"/>
                        <w:szCs w:val="18"/>
                      </w:rPr>
                      <w:t xml:space="preserve"> 管理体系审核记录表(03版)</w:t>
                    </w:r>
                  </w:p>
                </w:txbxContent>
              </v:textbox>
            </v:shape>
          </w:pict>
        </mc:Fallback>
      </mc:AlternateContent>
    </w:r>
    <w:r>
      <w:rPr>
        <w:rStyle w:val="12"/>
        <w:rFonts w:hint="default"/>
        <w:w w:val="90"/>
      </w:rPr>
      <w:t>Beijing International Standard united Certification Co.,Ltd.</w:t>
    </w:r>
  </w:p>
  <w:p>
    <w:pPr>
      <w:pStyle w:val="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96B8268"/>
    <w:multiLevelType w:val="singleLevel"/>
    <w:tmpl w:val="A96B8268"/>
    <w:lvl w:ilvl="0" w:tentative="0">
      <w:start w:val="1"/>
      <w:numFmt w:val="decimal"/>
      <w:lvlText w:val="(%1)"/>
      <w:lvlJc w:val="left"/>
      <w:pPr>
        <w:ind w:left="425" w:hanging="425"/>
      </w:pPr>
      <w:rPr>
        <w:rFonts w:hint="default"/>
      </w:rPr>
    </w:lvl>
  </w:abstractNum>
  <w:abstractNum w:abstractNumId="1">
    <w:nsid w:val="63992667"/>
    <w:multiLevelType w:val="singleLevel"/>
    <w:tmpl w:val="63992667"/>
    <w:lvl w:ilvl="0" w:tentative="0">
      <w:start w:val="1"/>
      <w:numFmt w:val="decimalEnclosedCircleChinese"/>
      <w:suff w:val="nothing"/>
      <w:lvlText w:val="%1　"/>
      <w:lvlJc w:val="left"/>
      <w:pPr>
        <w:ind w:left="0" w:firstLine="400"/>
      </w:pPr>
      <w:rPr>
        <w:rFonts w:hint="eastAsia"/>
      </w:rPr>
    </w:lvl>
  </w:abstractNum>
  <w:abstractNum w:abstractNumId="2">
    <w:nsid w:val="6A94BBE9"/>
    <w:multiLevelType w:val="multilevel"/>
    <w:tmpl w:val="6A94BBE9"/>
    <w:lvl w:ilvl="0" w:tentative="0">
      <w:start w:val="1"/>
      <w:numFmt w:val="decimal"/>
      <w:suff w:val="nothing"/>
      <w:lvlText w:val="%1、"/>
      <w:lvlJc w:val="left"/>
    </w:lvl>
    <w:lvl w:ilvl="1" w:tentative="0">
      <w:start w:val="1"/>
      <w:numFmt w:val="decimal"/>
      <w:lvlText w:val="(%2)"/>
      <w:lvlJc w:val="left"/>
      <w:pPr>
        <w:tabs>
          <w:tab w:val="left" w:pos="840"/>
        </w:tabs>
        <w:ind w:left="840" w:leftChars="0" w:hanging="420" w:firstLineChars="0"/>
      </w:pPr>
      <w:rPr>
        <w:rFonts w:hint="default"/>
      </w:rPr>
    </w:lvl>
    <w:lvl w:ilvl="2" w:tentative="0">
      <w:start w:val="1"/>
      <w:numFmt w:val="decimalEnclosedCircleChinese"/>
      <w:lvlText w:val="%3"/>
      <w:lvlJc w:val="left"/>
      <w:pPr>
        <w:tabs>
          <w:tab w:val="left" w:pos="1260"/>
        </w:tabs>
        <w:ind w:left="1260" w:leftChars="0" w:hanging="420" w:firstLineChars="0"/>
      </w:pPr>
      <w:rPr>
        <w:rFonts w:hint="default"/>
      </w:rPr>
    </w:lvl>
    <w:lvl w:ilvl="3" w:tentative="0">
      <w:start w:val="1"/>
      <w:numFmt w:val="decimal"/>
      <w:lvlText w:val="%4)"/>
      <w:lvlJc w:val="left"/>
      <w:pPr>
        <w:tabs>
          <w:tab w:val="left" w:pos="1680"/>
        </w:tabs>
        <w:ind w:left="1680" w:leftChars="0" w:hanging="420" w:firstLineChars="0"/>
      </w:pPr>
      <w:rPr>
        <w:rFonts w:hint="default"/>
      </w:rPr>
    </w:lvl>
    <w:lvl w:ilvl="4" w:tentative="0">
      <w:start w:val="1"/>
      <w:numFmt w:val="lowerLetter"/>
      <w:lvlText w:val="%5."/>
      <w:lvlJc w:val="left"/>
      <w:pPr>
        <w:tabs>
          <w:tab w:val="left" w:pos="2100"/>
        </w:tabs>
        <w:ind w:left="2100" w:leftChars="0" w:hanging="420" w:firstLineChars="0"/>
      </w:pPr>
      <w:rPr>
        <w:rFonts w:hint="default"/>
      </w:rPr>
    </w:lvl>
    <w:lvl w:ilvl="5" w:tentative="0">
      <w:start w:val="1"/>
      <w:numFmt w:val="lowerLetter"/>
      <w:lvlText w:val="%6)"/>
      <w:lvlJc w:val="left"/>
      <w:pPr>
        <w:tabs>
          <w:tab w:val="left" w:pos="2520"/>
        </w:tabs>
        <w:ind w:left="2520" w:leftChars="0" w:hanging="420" w:firstLineChars="0"/>
      </w:pPr>
      <w:rPr>
        <w:rFonts w:hint="default"/>
      </w:rPr>
    </w:lvl>
    <w:lvl w:ilvl="6" w:tentative="0">
      <w:start w:val="1"/>
      <w:numFmt w:val="lowerRoman"/>
      <w:lvlText w:val="%7."/>
      <w:lvlJc w:val="left"/>
      <w:pPr>
        <w:tabs>
          <w:tab w:val="left" w:pos="2940"/>
        </w:tabs>
        <w:ind w:left="2940" w:leftChars="0" w:hanging="420" w:firstLineChars="0"/>
      </w:pPr>
      <w:rPr>
        <w:rFonts w:hint="default"/>
      </w:rPr>
    </w:lvl>
    <w:lvl w:ilvl="7" w:tentative="0">
      <w:start w:val="1"/>
      <w:numFmt w:val="lowerRoman"/>
      <w:lvlText w:val="%8)"/>
      <w:lvlJc w:val="left"/>
      <w:pPr>
        <w:tabs>
          <w:tab w:val="left" w:pos="3360"/>
        </w:tabs>
        <w:ind w:left="3360" w:leftChars="0" w:hanging="420" w:firstLineChars="0"/>
      </w:pPr>
      <w:rPr>
        <w:rFonts w:hint="default"/>
      </w:rPr>
    </w:lvl>
    <w:lvl w:ilvl="8" w:tentative="0">
      <w:start w:val="1"/>
      <w:numFmt w:val="lowerLetter"/>
      <w:lvlText w:val="%9."/>
      <w:lvlJc w:val="left"/>
      <w:pPr>
        <w:tabs>
          <w:tab w:val="left" w:pos="3780"/>
        </w:tabs>
        <w:ind w:left="3780" w:leftChars="0" w:hanging="420" w:firstLineChars="0"/>
      </w:pPr>
      <w:rPr>
        <w:rFont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8"/>
  <w:doNotDisplayPageBoundaries w:val="1"/>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36757"/>
    <w:rsid w:val="00063031"/>
    <w:rsid w:val="000861C6"/>
    <w:rsid w:val="0009306C"/>
    <w:rsid w:val="000E6BC4"/>
    <w:rsid w:val="000F2BB4"/>
    <w:rsid w:val="00102F7A"/>
    <w:rsid w:val="001257E1"/>
    <w:rsid w:val="001262E9"/>
    <w:rsid w:val="001946AD"/>
    <w:rsid w:val="00197DF9"/>
    <w:rsid w:val="001A2D7F"/>
    <w:rsid w:val="001B38D9"/>
    <w:rsid w:val="001C4DE0"/>
    <w:rsid w:val="001C6BD6"/>
    <w:rsid w:val="00225438"/>
    <w:rsid w:val="0025251D"/>
    <w:rsid w:val="0028575A"/>
    <w:rsid w:val="002968C6"/>
    <w:rsid w:val="002B2FFC"/>
    <w:rsid w:val="002D5AD2"/>
    <w:rsid w:val="002E0791"/>
    <w:rsid w:val="00305681"/>
    <w:rsid w:val="0033182F"/>
    <w:rsid w:val="00337922"/>
    <w:rsid w:val="0034065E"/>
    <w:rsid w:val="00340867"/>
    <w:rsid w:val="0037469A"/>
    <w:rsid w:val="00376191"/>
    <w:rsid w:val="00380837"/>
    <w:rsid w:val="003907D0"/>
    <w:rsid w:val="003A0C32"/>
    <w:rsid w:val="003A198A"/>
    <w:rsid w:val="003B676E"/>
    <w:rsid w:val="003D1B53"/>
    <w:rsid w:val="003D4ACE"/>
    <w:rsid w:val="003F0455"/>
    <w:rsid w:val="003F15E9"/>
    <w:rsid w:val="00410914"/>
    <w:rsid w:val="0043136D"/>
    <w:rsid w:val="004502C9"/>
    <w:rsid w:val="004B0A04"/>
    <w:rsid w:val="004F4F64"/>
    <w:rsid w:val="004F5D79"/>
    <w:rsid w:val="00513CA4"/>
    <w:rsid w:val="00536930"/>
    <w:rsid w:val="00540703"/>
    <w:rsid w:val="00564E53"/>
    <w:rsid w:val="00570308"/>
    <w:rsid w:val="0058650C"/>
    <w:rsid w:val="00591A90"/>
    <w:rsid w:val="005A7C88"/>
    <w:rsid w:val="005B4A17"/>
    <w:rsid w:val="00601651"/>
    <w:rsid w:val="0061541D"/>
    <w:rsid w:val="0061669C"/>
    <w:rsid w:val="00626214"/>
    <w:rsid w:val="00644FE2"/>
    <w:rsid w:val="0067640C"/>
    <w:rsid w:val="00694953"/>
    <w:rsid w:val="006E41CD"/>
    <w:rsid w:val="006E678B"/>
    <w:rsid w:val="006E6C19"/>
    <w:rsid w:val="006F21CE"/>
    <w:rsid w:val="00702EB2"/>
    <w:rsid w:val="007148F7"/>
    <w:rsid w:val="00734D4F"/>
    <w:rsid w:val="007757F3"/>
    <w:rsid w:val="0079159C"/>
    <w:rsid w:val="00796277"/>
    <w:rsid w:val="007C2B82"/>
    <w:rsid w:val="007E1052"/>
    <w:rsid w:val="007E4106"/>
    <w:rsid w:val="007E6AEB"/>
    <w:rsid w:val="008312B1"/>
    <w:rsid w:val="00832B13"/>
    <w:rsid w:val="00852118"/>
    <w:rsid w:val="0085711D"/>
    <w:rsid w:val="00863B44"/>
    <w:rsid w:val="008660E8"/>
    <w:rsid w:val="00892717"/>
    <w:rsid w:val="00896F40"/>
    <w:rsid w:val="008973EE"/>
    <w:rsid w:val="008A747E"/>
    <w:rsid w:val="008E77BA"/>
    <w:rsid w:val="00923F05"/>
    <w:rsid w:val="00935977"/>
    <w:rsid w:val="0094042F"/>
    <w:rsid w:val="00940E1C"/>
    <w:rsid w:val="00956A90"/>
    <w:rsid w:val="00966C57"/>
    <w:rsid w:val="00971600"/>
    <w:rsid w:val="00981B59"/>
    <w:rsid w:val="00987123"/>
    <w:rsid w:val="00991AC9"/>
    <w:rsid w:val="009973B4"/>
    <w:rsid w:val="009A6A93"/>
    <w:rsid w:val="009B5C67"/>
    <w:rsid w:val="009C28C1"/>
    <w:rsid w:val="009D1557"/>
    <w:rsid w:val="009F7EED"/>
    <w:rsid w:val="00A07CD3"/>
    <w:rsid w:val="00A10037"/>
    <w:rsid w:val="00A4239C"/>
    <w:rsid w:val="00AC393F"/>
    <w:rsid w:val="00AC3A00"/>
    <w:rsid w:val="00AC6AE3"/>
    <w:rsid w:val="00AD4E0E"/>
    <w:rsid w:val="00AF0308"/>
    <w:rsid w:val="00AF0AAB"/>
    <w:rsid w:val="00AF69DA"/>
    <w:rsid w:val="00B0224F"/>
    <w:rsid w:val="00B02826"/>
    <w:rsid w:val="00B02A06"/>
    <w:rsid w:val="00B03C07"/>
    <w:rsid w:val="00B047FD"/>
    <w:rsid w:val="00B0674D"/>
    <w:rsid w:val="00B160F8"/>
    <w:rsid w:val="00B20FE2"/>
    <w:rsid w:val="00B61787"/>
    <w:rsid w:val="00B74858"/>
    <w:rsid w:val="00BB6ACB"/>
    <w:rsid w:val="00BD0A6B"/>
    <w:rsid w:val="00BD2C55"/>
    <w:rsid w:val="00BD6770"/>
    <w:rsid w:val="00BE11BF"/>
    <w:rsid w:val="00BE2194"/>
    <w:rsid w:val="00BE7A80"/>
    <w:rsid w:val="00BF597E"/>
    <w:rsid w:val="00C062AE"/>
    <w:rsid w:val="00C13296"/>
    <w:rsid w:val="00C23F26"/>
    <w:rsid w:val="00C35090"/>
    <w:rsid w:val="00C360DB"/>
    <w:rsid w:val="00C469A2"/>
    <w:rsid w:val="00C51A36"/>
    <w:rsid w:val="00C55228"/>
    <w:rsid w:val="00C7523D"/>
    <w:rsid w:val="00C93528"/>
    <w:rsid w:val="00CA4F9A"/>
    <w:rsid w:val="00CA7F00"/>
    <w:rsid w:val="00CD0AC8"/>
    <w:rsid w:val="00CE2833"/>
    <w:rsid w:val="00CE315A"/>
    <w:rsid w:val="00D03677"/>
    <w:rsid w:val="00D06F59"/>
    <w:rsid w:val="00D17159"/>
    <w:rsid w:val="00D231E4"/>
    <w:rsid w:val="00D51CF2"/>
    <w:rsid w:val="00D675BB"/>
    <w:rsid w:val="00D8388C"/>
    <w:rsid w:val="00D939C1"/>
    <w:rsid w:val="00DB43B7"/>
    <w:rsid w:val="00DC00A1"/>
    <w:rsid w:val="00DD1730"/>
    <w:rsid w:val="00E14414"/>
    <w:rsid w:val="00E32F02"/>
    <w:rsid w:val="00E817FC"/>
    <w:rsid w:val="00E92AF2"/>
    <w:rsid w:val="00E967B5"/>
    <w:rsid w:val="00EA049F"/>
    <w:rsid w:val="00EA6EBE"/>
    <w:rsid w:val="00EB0164"/>
    <w:rsid w:val="00EB17A8"/>
    <w:rsid w:val="00EC1457"/>
    <w:rsid w:val="00EC7001"/>
    <w:rsid w:val="00ED0F62"/>
    <w:rsid w:val="00F00EFC"/>
    <w:rsid w:val="00F8791E"/>
    <w:rsid w:val="00F96918"/>
    <w:rsid w:val="00FA636A"/>
    <w:rsid w:val="00FB7B9D"/>
    <w:rsid w:val="00FC5006"/>
    <w:rsid w:val="00FE2303"/>
    <w:rsid w:val="00FF4E2A"/>
    <w:rsid w:val="01815D28"/>
    <w:rsid w:val="01967A6E"/>
    <w:rsid w:val="02B84719"/>
    <w:rsid w:val="03640893"/>
    <w:rsid w:val="06770ADF"/>
    <w:rsid w:val="069E7BAA"/>
    <w:rsid w:val="07622B1B"/>
    <w:rsid w:val="07E00E5F"/>
    <w:rsid w:val="087032D5"/>
    <w:rsid w:val="08A51C02"/>
    <w:rsid w:val="08F12EC5"/>
    <w:rsid w:val="09EE4EC2"/>
    <w:rsid w:val="09F832E0"/>
    <w:rsid w:val="0AE65CCB"/>
    <w:rsid w:val="0B250CFE"/>
    <w:rsid w:val="0DB71123"/>
    <w:rsid w:val="0E0D4B6C"/>
    <w:rsid w:val="0E2D1AD5"/>
    <w:rsid w:val="0FB77A13"/>
    <w:rsid w:val="102A2CE8"/>
    <w:rsid w:val="108219C2"/>
    <w:rsid w:val="113A015C"/>
    <w:rsid w:val="12CB3340"/>
    <w:rsid w:val="13CE2B6D"/>
    <w:rsid w:val="13D9390E"/>
    <w:rsid w:val="14462253"/>
    <w:rsid w:val="15AB31D4"/>
    <w:rsid w:val="15F0156D"/>
    <w:rsid w:val="170D1054"/>
    <w:rsid w:val="18522B34"/>
    <w:rsid w:val="19A14DE0"/>
    <w:rsid w:val="1A306340"/>
    <w:rsid w:val="1AC458AB"/>
    <w:rsid w:val="1B45087A"/>
    <w:rsid w:val="1B61480E"/>
    <w:rsid w:val="1BD76431"/>
    <w:rsid w:val="1DB426B0"/>
    <w:rsid w:val="201C35DE"/>
    <w:rsid w:val="223D0EF6"/>
    <w:rsid w:val="22870307"/>
    <w:rsid w:val="24533B56"/>
    <w:rsid w:val="248A78EC"/>
    <w:rsid w:val="24FE116D"/>
    <w:rsid w:val="256A526F"/>
    <w:rsid w:val="25EB74EE"/>
    <w:rsid w:val="26215433"/>
    <w:rsid w:val="263654B6"/>
    <w:rsid w:val="28491A9D"/>
    <w:rsid w:val="2ABA198F"/>
    <w:rsid w:val="2D807A3F"/>
    <w:rsid w:val="2E4E2574"/>
    <w:rsid w:val="30282054"/>
    <w:rsid w:val="30A27C87"/>
    <w:rsid w:val="312266EE"/>
    <w:rsid w:val="331D334B"/>
    <w:rsid w:val="33860BB9"/>
    <w:rsid w:val="33BC0D70"/>
    <w:rsid w:val="343C2A26"/>
    <w:rsid w:val="34524295"/>
    <w:rsid w:val="34ED1C2F"/>
    <w:rsid w:val="351279DA"/>
    <w:rsid w:val="353721E6"/>
    <w:rsid w:val="353E7C57"/>
    <w:rsid w:val="370F1F76"/>
    <w:rsid w:val="39992ABD"/>
    <w:rsid w:val="39A30999"/>
    <w:rsid w:val="3AC8408D"/>
    <w:rsid w:val="3B81186A"/>
    <w:rsid w:val="3D4B5885"/>
    <w:rsid w:val="3DAC16ED"/>
    <w:rsid w:val="3E03163F"/>
    <w:rsid w:val="3E183177"/>
    <w:rsid w:val="3F9427B5"/>
    <w:rsid w:val="416555AC"/>
    <w:rsid w:val="41C05420"/>
    <w:rsid w:val="42D724F4"/>
    <w:rsid w:val="44CE10A7"/>
    <w:rsid w:val="453271D0"/>
    <w:rsid w:val="46F15EB1"/>
    <w:rsid w:val="49774A1A"/>
    <w:rsid w:val="49BA7E0C"/>
    <w:rsid w:val="4A5F6016"/>
    <w:rsid w:val="4B314636"/>
    <w:rsid w:val="4D2860C7"/>
    <w:rsid w:val="4DE94ACF"/>
    <w:rsid w:val="4F22587D"/>
    <w:rsid w:val="50AE1FD3"/>
    <w:rsid w:val="52447F1C"/>
    <w:rsid w:val="531A76A7"/>
    <w:rsid w:val="54A958D4"/>
    <w:rsid w:val="59362CFC"/>
    <w:rsid w:val="59E776B5"/>
    <w:rsid w:val="5A410478"/>
    <w:rsid w:val="5A924C04"/>
    <w:rsid w:val="5B270D40"/>
    <w:rsid w:val="5BD00C4A"/>
    <w:rsid w:val="5C9406EC"/>
    <w:rsid w:val="5EA12B9A"/>
    <w:rsid w:val="6147060A"/>
    <w:rsid w:val="61DC0836"/>
    <w:rsid w:val="62F43393"/>
    <w:rsid w:val="64CC1516"/>
    <w:rsid w:val="67565486"/>
    <w:rsid w:val="68581E15"/>
    <w:rsid w:val="68B5413B"/>
    <w:rsid w:val="68C60EA7"/>
    <w:rsid w:val="6991333C"/>
    <w:rsid w:val="69992394"/>
    <w:rsid w:val="6A403FC3"/>
    <w:rsid w:val="6CFB6932"/>
    <w:rsid w:val="6D2C467F"/>
    <w:rsid w:val="6E450CE9"/>
    <w:rsid w:val="6E8368C6"/>
    <w:rsid w:val="6EEF7A0A"/>
    <w:rsid w:val="70DB4A54"/>
    <w:rsid w:val="71336B84"/>
    <w:rsid w:val="71474E7E"/>
    <w:rsid w:val="71B146D8"/>
    <w:rsid w:val="72001E99"/>
    <w:rsid w:val="729F2EDD"/>
    <w:rsid w:val="72C70F1A"/>
    <w:rsid w:val="74795C7D"/>
    <w:rsid w:val="74821EB4"/>
    <w:rsid w:val="774A411E"/>
    <w:rsid w:val="77F67F4E"/>
    <w:rsid w:val="782D7FD1"/>
    <w:rsid w:val="783C7810"/>
    <w:rsid w:val="78C76759"/>
    <w:rsid w:val="7AD02CAD"/>
    <w:rsid w:val="7AE8376A"/>
    <w:rsid w:val="7B353A4A"/>
    <w:rsid w:val="7BFB0B28"/>
    <w:rsid w:val="7DCE78D1"/>
    <w:rsid w:val="7DDC5A44"/>
    <w:rsid w:val="7E715EDC"/>
    <w:rsid w:val="7F645C4C"/>
    <w:rsid w:val="7F9C461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8">
    <w:name w:val="Default Paragraph Font"/>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4">
    <w:name w:val="Balloon Text"/>
    <w:basedOn w:val="1"/>
    <w:link w:val="11"/>
    <w:semiHidden/>
    <w:unhideWhenUsed/>
    <w:qFormat/>
    <w:uiPriority w:val="99"/>
    <w:rPr>
      <w:sz w:val="18"/>
      <w:szCs w:val="18"/>
    </w:rPr>
  </w:style>
  <w:style w:type="paragraph" w:styleId="5">
    <w:name w:val="footer"/>
    <w:basedOn w:val="1"/>
    <w:link w:val="10"/>
    <w:unhideWhenUsed/>
    <w:qFormat/>
    <w:uiPriority w:val="99"/>
    <w:pPr>
      <w:tabs>
        <w:tab w:val="center" w:pos="4153"/>
        <w:tab w:val="right" w:pos="8306"/>
      </w:tabs>
      <w:snapToGrid w:val="0"/>
      <w:jc w:val="left"/>
    </w:pPr>
    <w:rPr>
      <w:sz w:val="18"/>
      <w:szCs w:val="18"/>
    </w:rPr>
  </w:style>
  <w:style w:type="paragraph" w:styleId="6">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character" w:customStyle="1" w:styleId="9">
    <w:name w:val="页眉 字符"/>
    <w:basedOn w:val="8"/>
    <w:link w:val="6"/>
    <w:qFormat/>
    <w:uiPriority w:val="99"/>
    <w:rPr>
      <w:rFonts w:ascii="Times New Roman" w:hAnsi="Times New Roman" w:eastAsia="宋体" w:cs="Times New Roman"/>
      <w:sz w:val="18"/>
      <w:szCs w:val="18"/>
    </w:rPr>
  </w:style>
  <w:style w:type="character" w:customStyle="1" w:styleId="10">
    <w:name w:val="页脚 字符"/>
    <w:basedOn w:val="8"/>
    <w:link w:val="5"/>
    <w:qFormat/>
    <w:uiPriority w:val="99"/>
    <w:rPr>
      <w:rFonts w:ascii="Times New Roman" w:hAnsi="Times New Roman" w:eastAsia="宋体" w:cs="Times New Roman"/>
      <w:sz w:val="18"/>
      <w:szCs w:val="18"/>
    </w:rPr>
  </w:style>
  <w:style w:type="character" w:customStyle="1" w:styleId="11">
    <w:name w:val="批注框文本 字符"/>
    <w:basedOn w:val="8"/>
    <w:link w:val="4"/>
    <w:semiHidden/>
    <w:qFormat/>
    <w:uiPriority w:val="99"/>
    <w:rPr>
      <w:rFonts w:ascii="Times New Roman" w:hAnsi="Times New Roman" w:eastAsia="宋体" w:cs="Times New Roman"/>
      <w:sz w:val="18"/>
      <w:szCs w:val="18"/>
    </w:rPr>
  </w:style>
  <w:style w:type="character" w:customStyle="1" w:styleId="12">
    <w:name w:val="Char Char1"/>
    <w:qFormat/>
    <w:locked/>
    <w:uiPriority w:val="0"/>
    <w:rPr>
      <w:rFonts w:hint="eastAsia" w:ascii="宋体" w:hAnsi="Courier New" w:eastAsia="宋体"/>
      <w:kern w:val="2"/>
      <w:sz w:val="21"/>
      <w:lang w:val="en-US" w:eastAsia="zh-CN" w:bidi="ar-SA"/>
    </w:rPr>
  </w:style>
  <w:style w:type="character" w:customStyle="1" w:styleId="13">
    <w:name w:val="info-content-text"/>
    <w:basedOn w:val="8"/>
    <w:qFormat/>
    <w:uiPriority w:val="0"/>
  </w:style>
  <w:style w:type="character" w:customStyle="1" w:styleId="14">
    <w:name w:val="info-expand-btn"/>
    <w:basedOn w:val="8"/>
    <w:qFormat/>
    <w:uiPriority w:val="0"/>
  </w:style>
  <w:style w:type="paragraph" w:customStyle="1" w:styleId="15">
    <w:name w:val="列出段落1"/>
    <w:basedOn w:val="1"/>
    <w:qFormat/>
    <w:uiPriority w:val="34"/>
    <w:pPr>
      <w:ind w:firstLine="420" w:firstLineChars="200"/>
    </w:pPr>
    <w:rPr>
      <w:rFonts w:asciiTheme="minorHAnsi" w:hAnsiTheme="minorHAnsi" w:eastAsiaTheme="minorEastAsia" w:cstheme="minorBidi"/>
      <w:szCs w:val="22"/>
    </w:rPr>
  </w:style>
  <w:style w:type="paragraph" w:styleId="16">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A2EC058-7F8A-46A7-BA01-2F6E1D1760ED}">
  <ds:schemaRefs/>
</ds:datastoreItem>
</file>

<file path=docProps/app.xml><?xml version="1.0" encoding="utf-8"?>
<Properties xmlns="http://schemas.openxmlformats.org/officeDocument/2006/extended-properties" xmlns:vt="http://schemas.openxmlformats.org/officeDocument/2006/docPropsVTypes">
  <Template>Normal</Template>
  <Pages>10</Pages>
  <Words>939</Words>
  <Characters>5355</Characters>
  <Lines>44</Lines>
  <Paragraphs>12</Paragraphs>
  <TotalTime>43</TotalTime>
  <ScaleCrop>false</ScaleCrop>
  <LinksUpToDate>false</LinksUpToDate>
  <CharactersWithSpaces>6282</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春华秋实</cp:lastModifiedBy>
  <dcterms:modified xsi:type="dcterms:W3CDTF">2021-07-08T06:56:28Z</dcterms:modified>
  <cp:revision>87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