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山东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汉芯</w:t>
            </w:r>
            <w:r>
              <w:rPr>
                <w:rFonts w:ascii="方正仿宋简体" w:eastAsia="方正仿宋简体"/>
                <w:b/>
              </w:rPr>
              <w:t>科技有限公司</w:t>
            </w:r>
            <w:bookmarkEnd w:id="3"/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张孝忠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查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签订时间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为202</w:t>
            </w:r>
            <w:r>
              <w:rPr>
                <w:rFonts w:hint="default" w:ascii="宋体" w:hAnsi="宋体"/>
                <w:b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Hans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01.01、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签订地点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为上海市浦东新区、协议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编号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为SX-CT01-NT210101与“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晟矽微电子（南京）有限公司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”签订的“IC封装加工协议”。其中协议中“六  质量  3、封装加工质量按双方签署的《封装质量技术协议》要求执行。”但是未能提供相关的证据。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2021-6-13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B66A3"/>
    <w:rsid w:val="064E58A3"/>
    <w:rsid w:val="313D3D44"/>
    <w:rsid w:val="42FE363C"/>
    <w:rsid w:val="5B2D6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8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2021-06-12T04:36:45Z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ECF6D2B71D7C40E0A658E86F7AD28519</vt:lpwstr>
  </property>
</Properties>
</file>