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山东旭尊电子科技有限公司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b/>
                <w:bCs/>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王宁敏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孔永乐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Q:19.10.00</w:t>
            </w:r>
          </w:p>
          <w:p>
            <w:pPr>
              <w:spacing w:line="240" w:lineRule="exact"/>
              <w:jc w:val="center"/>
              <w:rPr>
                <w:b/>
                <w:color w:val="000000" w:themeColor="text1"/>
                <w:sz w:val="20"/>
                <w:szCs w:val="20"/>
              </w:rPr>
            </w:pPr>
            <w:r>
              <w:rPr>
                <w:b/>
                <w:color w:val="000000" w:themeColor="text1"/>
                <w:sz w:val="20"/>
                <w:szCs w:val="20"/>
              </w:rPr>
              <w:t>E:19.10.00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山东旭尊电子科技有限公司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6" w:name="企业人数"/>
            <w:r>
              <w:rPr>
                <w:rFonts w:ascii="宋体" w:hAnsi="宋体"/>
                <w:b/>
                <w:color w:val="000000" w:themeColor="text1"/>
                <w:sz w:val="20"/>
                <w:szCs w:val="20"/>
              </w:rPr>
              <w:t>2</w:t>
            </w:r>
            <w:bookmarkEnd w:id="6"/>
            <w:r>
              <w:rPr>
                <w:rFonts w:hint="eastAsia" w:ascii="宋体" w:hAnsi="宋体"/>
                <w:b/>
                <w:color w:val="000000" w:themeColor="text1"/>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山东省枣庄市峄城经济开发区科达西路10号汉芯半导体产业园</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277300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山东省枣庄市峄城经济开发区科达西路10号汉芯半导体产业园</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277300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黄晋发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13371113589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曹凤</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02" w:firstLineChars="200"/>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黄晋发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侯广芳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Q：锂离子电池的组装及销售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E：锂离子电池的组装及销售所涉及场所的相关环境管理活动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Q：19.10.00</w:t>
            </w:r>
          </w:p>
          <w:p>
            <w:pPr>
              <w:spacing w:line="320" w:lineRule="exact"/>
              <w:rPr>
                <w:rFonts w:ascii="宋体" w:hAnsi="宋体"/>
                <w:b/>
                <w:color w:val="000000" w:themeColor="text1"/>
                <w:sz w:val="20"/>
                <w:szCs w:val="20"/>
              </w:rPr>
            </w:pPr>
            <w:r>
              <w:rPr>
                <w:rFonts w:ascii="宋体" w:hAnsi="宋体"/>
                <w:b/>
                <w:color w:val="000000" w:themeColor="text1"/>
                <w:sz w:val="20"/>
                <w:szCs w:val="20"/>
              </w:rPr>
              <w:t>E：19.10.00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bCs w:val="0"/>
                <w:color w:val="000000" w:themeColor="text1"/>
                <w:spacing w:val="-2"/>
                <w:sz w:val="20"/>
                <w:szCs w:val="20"/>
              </w:rPr>
            </w:pPr>
            <w:r>
              <w:rPr>
                <w:rFonts w:hint="eastAsia" w:ascii="宋体" w:hAnsi="宋体"/>
                <w:b/>
                <w:bCs w:val="0"/>
                <w:color w:val="000000" w:themeColor="text1"/>
                <w:sz w:val="20"/>
                <w:szCs w:val="20"/>
              </w:rPr>
              <w:t>部门</w:t>
            </w:r>
            <w:r>
              <w:rPr>
                <w:rFonts w:hint="eastAsia" w:ascii="宋体" w:hAnsi="宋体"/>
                <w:b/>
                <w:bCs w:val="0"/>
                <w:color w:val="000000" w:themeColor="text1"/>
                <w:spacing w:val="-2"/>
                <w:sz w:val="20"/>
                <w:szCs w:val="20"/>
              </w:rPr>
              <w:t>:</w:t>
            </w:r>
          </w:p>
        </w:tc>
        <w:tc>
          <w:tcPr>
            <w:tcW w:w="6804" w:type="dxa"/>
          </w:tcPr>
          <w:p>
            <w:pPr>
              <w:jc w:val="center"/>
              <w:rPr>
                <w:rFonts w:ascii="宋体" w:hAnsi="宋体"/>
                <w:b/>
                <w:bCs w:val="0"/>
                <w:color w:val="000000" w:themeColor="text1"/>
                <w:sz w:val="20"/>
                <w:szCs w:val="20"/>
              </w:rPr>
            </w:pPr>
            <w:r>
              <w:rPr>
                <w:rFonts w:hint="eastAsia" w:ascii="宋体" w:hAnsi="宋体"/>
                <w:b/>
                <w:bCs w:val="0"/>
                <w:color w:val="000000" w:themeColor="text1"/>
                <w:sz w:val="20"/>
                <w:szCs w:val="20"/>
              </w:rPr>
              <w:t>职能或过程</w:t>
            </w:r>
            <w:r>
              <w:rPr>
                <w:rFonts w:hint="eastAsia" w:ascii="宋体" w:hAnsi="宋体"/>
                <w:b/>
                <w:bCs w:val="0"/>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bCs w:val="0"/>
                <w:color w:val="000000" w:themeColor="text1"/>
                <w:sz w:val="20"/>
                <w:szCs w:val="20"/>
              </w:rPr>
            </w:pPr>
            <w:r>
              <w:rPr>
                <w:rFonts w:ascii="宋体" w:hAnsi="宋体"/>
                <w:b/>
                <w:bCs w:val="0"/>
                <w:sz w:val="20"/>
                <w:szCs w:val="20"/>
              </w:rPr>
              <w:t>管理层</w:t>
            </w:r>
          </w:p>
        </w:tc>
        <w:tc>
          <w:tcPr>
            <w:tcW w:w="6804" w:type="dxa"/>
            <w:vAlign w:val="top"/>
          </w:tcPr>
          <w:p>
            <w:pPr>
              <w:spacing w:line="240" w:lineRule="exact"/>
              <w:jc w:val="left"/>
              <w:rPr>
                <w:rFonts w:ascii="宋体" w:hAnsi="宋体"/>
                <w:b/>
                <w:bCs w:val="0"/>
                <w:color w:val="auto"/>
                <w:spacing w:val="-20"/>
                <w:sz w:val="20"/>
                <w:szCs w:val="20"/>
                <w:u w:val="single"/>
              </w:rPr>
            </w:pPr>
            <w:r>
              <w:rPr>
                <w:rFonts w:ascii="宋体" w:hAnsi="宋体"/>
                <w:b/>
                <w:bCs w:val="0"/>
                <w:color w:val="auto"/>
                <w:sz w:val="20"/>
                <w:szCs w:val="20"/>
              </w:rPr>
              <w:t>组织环境</w:t>
            </w:r>
            <w:r>
              <w:rPr>
                <w:rFonts w:hint="eastAsia" w:ascii="宋体" w:hAnsi="宋体"/>
                <w:b/>
                <w:bCs w:val="0"/>
                <w:color w:val="auto"/>
                <w:sz w:val="20"/>
                <w:szCs w:val="20"/>
              </w:rPr>
              <w:t>、</w:t>
            </w:r>
            <w:r>
              <w:rPr>
                <w:rFonts w:ascii="宋体" w:hAnsi="宋体"/>
                <w:b/>
                <w:bCs w:val="0"/>
                <w:color w:val="auto"/>
                <w:sz w:val="20"/>
                <w:szCs w:val="20"/>
              </w:rPr>
              <w:t>风险和机遇</w:t>
            </w:r>
            <w:r>
              <w:rPr>
                <w:rFonts w:hint="eastAsia" w:ascii="宋体" w:hAnsi="宋体"/>
                <w:b/>
                <w:bCs w:val="0"/>
                <w:color w:val="auto"/>
                <w:sz w:val="20"/>
                <w:szCs w:val="20"/>
              </w:rPr>
              <w:t>、</w:t>
            </w:r>
            <w:r>
              <w:rPr>
                <w:rFonts w:ascii="宋体" w:hAnsi="宋体"/>
                <w:b/>
                <w:bCs w:val="0"/>
                <w:color w:val="auto"/>
                <w:sz w:val="20"/>
                <w:szCs w:val="20"/>
              </w:rPr>
              <w:t>领导作用</w:t>
            </w:r>
            <w:r>
              <w:rPr>
                <w:rFonts w:hint="eastAsia" w:ascii="宋体" w:hAnsi="宋体"/>
                <w:b/>
                <w:bCs w:val="0"/>
                <w:color w:val="auto"/>
                <w:sz w:val="20"/>
                <w:szCs w:val="20"/>
              </w:rPr>
              <w:t>、</w:t>
            </w:r>
            <w:r>
              <w:rPr>
                <w:rFonts w:ascii="宋体" w:hAnsi="宋体"/>
                <w:b/>
                <w:bCs w:val="0"/>
                <w:color w:val="auto"/>
                <w:sz w:val="20"/>
                <w:szCs w:val="20"/>
              </w:rPr>
              <w:t>管理评审</w:t>
            </w:r>
            <w:r>
              <w:rPr>
                <w:rFonts w:hint="eastAsia" w:ascii="宋体" w:hAnsi="宋体"/>
                <w:b/>
                <w:bCs w:val="0"/>
                <w:color w:val="auto"/>
                <w:sz w:val="20"/>
                <w:szCs w:val="20"/>
              </w:rPr>
              <w:t>、</w:t>
            </w:r>
            <w:r>
              <w:rPr>
                <w:rFonts w:ascii="宋体" w:hAnsi="宋体"/>
                <w:b/>
                <w:bCs w:val="0"/>
                <w:color w:val="auto"/>
                <w:sz w:val="20"/>
                <w:szCs w:val="20"/>
              </w:rPr>
              <w:t>资源提供等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bCs w:val="0"/>
                <w:color w:val="000000" w:themeColor="text1"/>
                <w:sz w:val="20"/>
                <w:szCs w:val="20"/>
              </w:rPr>
            </w:pPr>
            <w:r>
              <w:rPr>
                <w:rFonts w:hint="eastAsia" w:ascii="宋体" w:hAnsi="宋体"/>
                <w:b/>
                <w:bCs w:val="0"/>
                <w:sz w:val="20"/>
                <w:szCs w:val="20"/>
                <w:lang w:val="en-US" w:eastAsia="zh-CN"/>
              </w:rPr>
              <w:t>总经办</w:t>
            </w:r>
          </w:p>
        </w:tc>
        <w:tc>
          <w:tcPr>
            <w:tcW w:w="6804" w:type="dxa"/>
            <w:vAlign w:val="top"/>
          </w:tcPr>
          <w:p>
            <w:pPr>
              <w:spacing w:line="240" w:lineRule="exact"/>
              <w:jc w:val="left"/>
              <w:rPr>
                <w:rFonts w:ascii="宋体" w:hAnsi="宋体"/>
                <w:b/>
                <w:bCs w:val="0"/>
                <w:color w:val="auto"/>
                <w:spacing w:val="-20"/>
                <w:sz w:val="20"/>
                <w:szCs w:val="20"/>
                <w:u w:val="single"/>
              </w:rPr>
            </w:pPr>
            <w:r>
              <w:rPr>
                <w:rFonts w:ascii="宋体" w:hAnsi="宋体"/>
                <w:b/>
                <w:bCs w:val="0"/>
                <w:color w:val="auto"/>
                <w:sz w:val="20"/>
                <w:szCs w:val="20"/>
              </w:rPr>
              <w:t>文件</w:t>
            </w:r>
            <w:r>
              <w:rPr>
                <w:rFonts w:hint="eastAsia" w:ascii="宋体" w:hAnsi="宋体"/>
                <w:b/>
                <w:bCs w:val="0"/>
                <w:color w:val="auto"/>
                <w:sz w:val="20"/>
                <w:szCs w:val="20"/>
              </w:rPr>
              <w:t>、</w:t>
            </w:r>
            <w:r>
              <w:rPr>
                <w:rFonts w:ascii="宋体" w:hAnsi="宋体"/>
                <w:b/>
                <w:bCs w:val="0"/>
                <w:color w:val="auto"/>
                <w:sz w:val="20"/>
                <w:szCs w:val="20"/>
              </w:rPr>
              <w:t>记录</w:t>
            </w:r>
            <w:r>
              <w:rPr>
                <w:rFonts w:hint="eastAsia" w:ascii="宋体" w:hAnsi="宋体"/>
                <w:b/>
                <w:bCs w:val="0"/>
                <w:color w:val="auto"/>
                <w:sz w:val="20"/>
                <w:szCs w:val="20"/>
              </w:rPr>
              <w:t>、</w:t>
            </w:r>
            <w:r>
              <w:rPr>
                <w:rFonts w:ascii="宋体" w:hAnsi="宋体"/>
                <w:b/>
                <w:bCs w:val="0"/>
                <w:color w:val="auto"/>
                <w:sz w:val="20"/>
                <w:szCs w:val="20"/>
              </w:rPr>
              <w:t>培训</w:t>
            </w:r>
            <w:r>
              <w:rPr>
                <w:rFonts w:hint="eastAsia" w:ascii="宋体" w:hAnsi="宋体"/>
                <w:b/>
                <w:bCs w:val="0"/>
                <w:color w:val="auto"/>
                <w:sz w:val="20"/>
                <w:szCs w:val="20"/>
              </w:rPr>
              <w:t>、</w:t>
            </w:r>
            <w:r>
              <w:rPr>
                <w:rFonts w:ascii="宋体" w:hAnsi="宋体"/>
                <w:b/>
                <w:bCs w:val="0"/>
                <w:color w:val="auto"/>
                <w:sz w:val="20"/>
                <w:szCs w:val="20"/>
              </w:rPr>
              <w:t>内审</w:t>
            </w:r>
            <w:r>
              <w:rPr>
                <w:rFonts w:hint="eastAsia" w:ascii="宋体" w:hAnsi="宋体"/>
                <w:b/>
                <w:bCs w:val="0"/>
                <w:color w:val="auto"/>
                <w:sz w:val="20"/>
                <w:szCs w:val="20"/>
              </w:rPr>
              <w:t>、</w:t>
            </w:r>
            <w:r>
              <w:rPr>
                <w:rFonts w:ascii="宋体" w:hAnsi="宋体"/>
                <w:b/>
                <w:bCs w:val="0"/>
                <w:color w:val="auto"/>
                <w:sz w:val="20"/>
                <w:szCs w:val="20"/>
              </w:rPr>
              <w:t>法律法规</w:t>
            </w:r>
            <w:r>
              <w:rPr>
                <w:rFonts w:hint="eastAsia" w:ascii="宋体" w:hAnsi="宋体"/>
                <w:b/>
                <w:bCs w:val="0"/>
                <w:color w:val="auto"/>
                <w:sz w:val="20"/>
                <w:szCs w:val="20"/>
              </w:rPr>
              <w:t>、</w:t>
            </w:r>
            <w:r>
              <w:rPr>
                <w:rFonts w:ascii="宋体" w:hAnsi="宋体"/>
                <w:b/>
                <w:bCs w:val="0"/>
                <w:color w:val="auto"/>
                <w:sz w:val="20"/>
                <w:szCs w:val="20"/>
              </w:rPr>
              <w:t>合规性评价</w:t>
            </w:r>
            <w:r>
              <w:rPr>
                <w:rFonts w:hint="eastAsia" w:ascii="宋体" w:hAnsi="宋体"/>
                <w:b/>
                <w:bCs w:val="0"/>
                <w:color w:val="auto"/>
                <w:sz w:val="20"/>
                <w:szCs w:val="20"/>
              </w:rPr>
              <w:t>、</w:t>
            </w:r>
            <w:r>
              <w:rPr>
                <w:rFonts w:ascii="宋体" w:hAnsi="宋体"/>
                <w:b/>
                <w:bCs w:val="0"/>
                <w:color w:val="auto"/>
                <w:sz w:val="20"/>
                <w:szCs w:val="20"/>
              </w:rPr>
              <w:t>环境因素及运行控制</w:t>
            </w:r>
            <w:r>
              <w:rPr>
                <w:rFonts w:hint="eastAsia" w:ascii="宋体" w:hAnsi="宋体"/>
                <w:b/>
                <w:bCs w:val="0"/>
                <w:color w:val="auto"/>
                <w:sz w:val="20"/>
                <w:szCs w:val="20"/>
              </w:rPr>
              <w:t>、</w:t>
            </w:r>
            <w:r>
              <w:rPr>
                <w:rFonts w:ascii="宋体" w:hAnsi="宋体"/>
                <w:b/>
                <w:bCs w:val="0"/>
                <w:color w:val="auto"/>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bCs w:val="0"/>
                <w:color w:val="000000" w:themeColor="text1"/>
                <w:sz w:val="20"/>
                <w:szCs w:val="20"/>
              </w:rPr>
            </w:pPr>
            <w:r>
              <w:rPr>
                <w:rFonts w:ascii="宋体" w:hAnsi="宋体"/>
                <w:b/>
                <w:bCs w:val="0"/>
                <w:sz w:val="20"/>
                <w:szCs w:val="20"/>
              </w:rPr>
              <w:t>销售部</w:t>
            </w:r>
          </w:p>
        </w:tc>
        <w:tc>
          <w:tcPr>
            <w:tcW w:w="6804" w:type="dxa"/>
            <w:vAlign w:val="top"/>
          </w:tcPr>
          <w:p>
            <w:pPr>
              <w:spacing w:line="240" w:lineRule="exact"/>
              <w:jc w:val="left"/>
              <w:rPr>
                <w:rFonts w:ascii="宋体" w:hAnsi="宋体"/>
                <w:b/>
                <w:bCs w:val="0"/>
                <w:color w:val="auto"/>
                <w:spacing w:val="-20"/>
                <w:sz w:val="20"/>
                <w:szCs w:val="20"/>
                <w:u w:val="single"/>
              </w:rPr>
            </w:pPr>
            <w:r>
              <w:rPr>
                <w:rFonts w:ascii="宋体" w:hAnsi="宋体"/>
                <w:b/>
                <w:bCs w:val="0"/>
                <w:color w:val="auto"/>
                <w:sz w:val="20"/>
                <w:szCs w:val="20"/>
              </w:rPr>
              <w:t>销售过程</w:t>
            </w:r>
            <w:r>
              <w:rPr>
                <w:rFonts w:hint="eastAsia" w:ascii="宋体" w:hAnsi="宋体"/>
                <w:b/>
                <w:bCs w:val="0"/>
                <w:color w:val="auto"/>
                <w:sz w:val="20"/>
                <w:szCs w:val="20"/>
              </w:rPr>
              <w:t>、</w:t>
            </w:r>
            <w:r>
              <w:rPr>
                <w:rFonts w:ascii="宋体" w:hAnsi="宋体"/>
                <w:b/>
                <w:bCs w:val="0"/>
                <w:color w:val="auto"/>
                <w:sz w:val="20"/>
                <w:szCs w:val="20"/>
              </w:rPr>
              <w:t>相关方施加影响</w:t>
            </w:r>
            <w:r>
              <w:rPr>
                <w:rFonts w:hint="eastAsia" w:ascii="宋体" w:hAnsi="宋体"/>
                <w:b/>
                <w:bCs w:val="0"/>
                <w:color w:val="auto"/>
                <w:sz w:val="20"/>
                <w:szCs w:val="20"/>
              </w:rPr>
              <w:t>、</w:t>
            </w:r>
            <w:r>
              <w:rPr>
                <w:rFonts w:ascii="宋体" w:hAnsi="宋体"/>
                <w:b/>
                <w:bCs w:val="0"/>
                <w:color w:val="auto"/>
                <w:sz w:val="20"/>
                <w:szCs w:val="20"/>
              </w:rPr>
              <w:t>环境因素识别及运行控制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bCs w:val="0"/>
                <w:color w:val="000000" w:themeColor="text1"/>
                <w:sz w:val="20"/>
                <w:szCs w:val="20"/>
                <w:lang w:val="en-US" w:eastAsia="zh-CN"/>
              </w:rPr>
            </w:pPr>
            <w:r>
              <w:rPr>
                <w:rFonts w:hint="eastAsia" w:ascii="宋体" w:hAnsi="宋体"/>
                <w:b/>
                <w:bCs w:val="0"/>
                <w:color w:val="000000" w:themeColor="text1"/>
                <w:sz w:val="20"/>
                <w:szCs w:val="20"/>
                <w:lang w:val="en-US" w:eastAsia="zh-CN"/>
              </w:rPr>
              <w:t>品质部</w:t>
            </w:r>
          </w:p>
        </w:tc>
        <w:tc>
          <w:tcPr>
            <w:tcW w:w="6804" w:type="dxa"/>
          </w:tcPr>
          <w:p>
            <w:pPr>
              <w:jc w:val="left"/>
              <w:rPr>
                <w:rFonts w:ascii="宋体" w:hAnsi="宋体"/>
                <w:b/>
                <w:bCs w:val="0"/>
                <w:color w:val="auto"/>
                <w:spacing w:val="-20"/>
                <w:sz w:val="20"/>
                <w:szCs w:val="20"/>
                <w:u w:val="single"/>
              </w:rPr>
            </w:pPr>
            <w:r>
              <w:rPr>
                <w:rFonts w:hint="eastAsia" w:ascii="宋体" w:hAnsi="宋体" w:cs="Arial"/>
                <w:b/>
                <w:bCs w:val="0"/>
                <w:sz w:val="21"/>
                <w:szCs w:val="21"/>
              </w:rPr>
              <w:t>监视和测量资源、产品和服务的放行、不合格输出的控制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054" w:firstLineChars="500"/>
              <w:rPr>
                <w:rFonts w:hint="default" w:ascii="宋体" w:hAnsi="宋体" w:eastAsia="宋体"/>
                <w:b/>
                <w:bCs w:val="0"/>
                <w:color w:val="000000" w:themeColor="text1"/>
                <w:szCs w:val="21"/>
                <w:lang w:val="en-US" w:eastAsia="zh-CN"/>
              </w:rPr>
            </w:pPr>
            <w:r>
              <w:rPr>
                <w:rFonts w:hint="eastAsia" w:ascii="宋体" w:hAnsi="宋体"/>
                <w:b/>
                <w:bCs w:val="0"/>
                <w:color w:val="000000" w:themeColor="text1"/>
                <w:szCs w:val="21"/>
                <w:lang w:val="en-US" w:eastAsia="zh-CN"/>
              </w:rPr>
              <w:t>生产部</w:t>
            </w:r>
          </w:p>
        </w:tc>
        <w:tc>
          <w:tcPr>
            <w:tcW w:w="6804" w:type="dxa"/>
          </w:tcPr>
          <w:p>
            <w:pPr>
              <w:jc w:val="left"/>
              <w:rPr>
                <w:rFonts w:hint="eastAsia" w:ascii="宋体" w:hAnsi="宋体" w:eastAsia="宋体"/>
                <w:b/>
                <w:bCs w:val="0"/>
                <w:color w:val="auto"/>
                <w:spacing w:val="-20"/>
                <w:szCs w:val="21"/>
                <w:u w:val="single"/>
                <w:lang w:eastAsia="zh-CN"/>
              </w:rPr>
            </w:pPr>
            <w:r>
              <w:rPr>
                <w:rFonts w:hint="eastAsia" w:ascii="宋体" w:hAnsi="宋体" w:cs="Arial"/>
                <w:b/>
                <w:bCs w:val="0"/>
                <w:color w:val="auto"/>
                <w:sz w:val="21"/>
                <w:szCs w:val="21"/>
              </w:rPr>
              <w:t>产品和服务的控制、基础设施、过程运行环境、运行策划和控制、</w:t>
            </w:r>
            <w:r>
              <w:rPr>
                <w:rFonts w:hint="eastAsia" w:ascii="宋体" w:hAnsi="宋体" w:cs="Arial"/>
                <w:b/>
                <w:bCs w:val="0"/>
                <w:color w:val="auto"/>
                <w:sz w:val="21"/>
                <w:szCs w:val="21"/>
                <w:lang w:val="en-US" w:eastAsia="zh-CN"/>
              </w:rPr>
              <w:t>生产</w:t>
            </w:r>
            <w:r>
              <w:rPr>
                <w:rFonts w:hint="eastAsia" w:ascii="宋体" w:hAnsi="宋体" w:cs="Arial"/>
                <w:b/>
                <w:bCs w:val="0"/>
                <w:color w:val="auto"/>
                <w:sz w:val="21"/>
                <w:szCs w:val="21"/>
              </w:rPr>
              <w:t>和服务提供的控制</w:t>
            </w:r>
            <w:r>
              <w:rPr>
                <w:rFonts w:hint="eastAsia" w:ascii="宋体" w:hAnsi="宋体" w:cs="Arial"/>
                <w:b/>
                <w:bCs w:val="0"/>
                <w:color w:val="auto"/>
                <w:sz w:val="21"/>
                <w:szCs w:val="21"/>
                <w:lang w:eastAsia="zh-CN"/>
              </w:rPr>
              <w:t>、</w:t>
            </w:r>
            <w:r>
              <w:rPr>
                <w:rFonts w:ascii="宋体" w:hAnsi="宋体"/>
                <w:b/>
                <w:bCs w:val="0"/>
                <w:color w:val="auto"/>
                <w:sz w:val="20"/>
                <w:szCs w:val="20"/>
              </w:rPr>
              <w:t>环境因素及运行控制</w:t>
            </w:r>
            <w:r>
              <w:rPr>
                <w:rFonts w:hint="eastAsia" w:ascii="宋体" w:hAnsi="宋体"/>
                <w:b/>
                <w:bCs w:val="0"/>
                <w:color w:val="auto"/>
                <w:sz w:val="20"/>
                <w:szCs w:val="20"/>
              </w:rPr>
              <w:t>、</w:t>
            </w:r>
            <w:r>
              <w:rPr>
                <w:rFonts w:ascii="宋体" w:hAnsi="宋体"/>
                <w:b/>
                <w:bCs w:val="0"/>
                <w:color w:val="auto"/>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054" w:firstLineChars="500"/>
              <w:rPr>
                <w:rFonts w:hint="default" w:ascii="宋体" w:hAnsi="宋体"/>
                <w:b/>
                <w:bCs w:val="0"/>
                <w:color w:val="000000" w:themeColor="text1"/>
                <w:szCs w:val="21"/>
                <w:lang w:val="en-US" w:eastAsia="zh-CN"/>
              </w:rPr>
            </w:pPr>
            <w:r>
              <w:rPr>
                <w:rFonts w:hint="eastAsia" w:ascii="宋体" w:hAnsi="宋体"/>
                <w:b/>
                <w:bCs w:val="0"/>
                <w:color w:val="000000" w:themeColor="text1"/>
                <w:szCs w:val="21"/>
                <w:lang w:val="en-US" w:eastAsia="zh-CN"/>
              </w:rPr>
              <w:t>财务部</w:t>
            </w:r>
          </w:p>
        </w:tc>
        <w:tc>
          <w:tcPr>
            <w:tcW w:w="6804" w:type="dxa"/>
          </w:tcPr>
          <w:p>
            <w:pPr>
              <w:jc w:val="left"/>
              <w:rPr>
                <w:rFonts w:hint="default" w:ascii="宋体" w:hAnsi="宋体" w:eastAsia="宋体" w:cs="Arial"/>
                <w:b/>
                <w:bCs w:val="0"/>
                <w:color w:val="auto"/>
                <w:sz w:val="21"/>
                <w:szCs w:val="21"/>
                <w:lang w:val="en-US" w:eastAsia="zh-CN"/>
              </w:rPr>
            </w:pPr>
            <w:r>
              <w:rPr>
                <w:rFonts w:ascii="宋体" w:hAnsi="宋体"/>
                <w:b/>
                <w:bCs w:val="0"/>
                <w:color w:val="auto"/>
                <w:sz w:val="20"/>
                <w:szCs w:val="20"/>
              </w:rPr>
              <w:t>环境因素识别及运行控制</w:t>
            </w:r>
            <w:r>
              <w:rPr>
                <w:rFonts w:hint="eastAsia" w:ascii="宋体" w:hAnsi="宋体"/>
                <w:b/>
                <w:bCs w:val="0"/>
                <w:color w:val="auto"/>
                <w:sz w:val="20"/>
                <w:szCs w:val="20"/>
                <w:lang w:eastAsia="zh-CN"/>
              </w:rPr>
              <w:t>、</w:t>
            </w:r>
            <w:r>
              <w:rPr>
                <w:rFonts w:hint="eastAsia" w:ascii="宋体" w:hAnsi="宋体" w:cs="Arial"/>
                <w:b/>
                <w:bCs w:val="0"/>
                <w:color w:val="auto"/>
                <w:sz w:val="21"/>
                <w:szCs w:val="21"/>
                <w:lang w:val="en-US" w:eastAsia="zh-CN"/>
              </w:rPr>
              <w:t>环境管理体系资金提供等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锂离子电池的组装及销售</w:t>
            </w:r>
          </w:p>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napToGrid w:val="0"/>
              <w:spacing w:line="280" w:lineRule="exact"/>
              <w:jc w:val="left"/>
              <w:rPr>
                <w:rFonts w:hint="eastAsia"/>
                <w:b/>
                <w:sz w:val="20"/>
              </w:rPr>
            </w:pPr>
            <w:r>
              <w:rPr>
                <w:rFonts w:hint="eastAsia"/>
                <w:b/>
                <w:sz w:val="20"/>
              </w:rPr>
              <w:t>GB/T18287-2000蜂窝电话用锂离子电池总规范</w:t>
            </w:r>
            <w:r>
              <w:rPr>
                <w:rFonts w:hint="eastAsia"/>
                <w:b/>
                <w:sz w:val="20"/>
              </w:rPr>
              <w:br w:type="textWrapping"/>
            </w:r>
            <w:r>
              <w:rPr>
                <w:rFonts w:hint="eastAsia"/>
                <w:b/>
                <w:sz w:val="20"/>
              </w:rPr>
              <w:t>QB/T2502-2000锂离子蓄电池总规范</w:t>
            </w:r>
            <w:r>
              <w:rPr>
                <w:rFonts w:hint="eastAsia"/>
                <w:b/>
                <w:sz w:val="20"/>
              </w:rPr>
              <w:br w:type="textWrapping"/>
            </w:r>
            <w:r>
              <w:rPr>
                <w:rFonts w:hint="eastAsia"/>
                <w:b/>
                <w:sz w:val="20"/>
              </w:rPr>
              <w:t>GB/Z 18333.1-2001 电动道路车辆用锂离子蓄电池</w:t>
            </w:r>
            <w:r>
              <w:rPr>
                <w:rFonts w:hint="eastAsia"/>
                <w:b/>
                <w:sz w:val="20"/>
              </w:rPr>
              <w:br w:type="textWrapping"/>
            </w:r>
            <w:r>
              <w:rPr>
                <w:rFonts w:hint="eastAsia"/>
                <w:b/>
                <w:sz w:val="20"/>
              </w:rPr>
              <w:t>GB 8897.4-2002锂电池的安全要求</w:t>
            </w:r>
            <w:r>
              <w:rPr>
                <w:rFonts w:hint="eastAsia"/>
                <w:b/>
                <w:sz w:val="20"/>
              </w:rPr>
              <w:br w:type="textWrapping"/>
            </w:r>
            <w:r>
              <w:rPr>
                <w:rFonts w:hint="eastAsia"/>
                <w:b/>
                <w:sz w:val="20"/>
              </w:rPr>
              <w:t>YD 1268-2003 移动通信手持机锂电池及充电器的试验方法</w:t>
            </w:r>
            <w:r>
              <w:rPr>
                <w:rFonts w:hint="eastAsia"/>
                <w:b/>
                <w:sz w:val="20"/>
              </w:rPr>
              <w:br w:type="textWrapping"/>
            </w:r>
            <w:r>
              <w:rPr>
                <w:rFonts w:hint="eastAsia"/>
                <w:b/>
                <w:sz w:val="20"/>
              </w:rPr>
              <w:t>IEC61960-2000 《IEC锂蓄电池标准》</w:t>
            </w:r>
            <w:r>
              <w:rPr>
                <w:rFonts w:hint="eastAsia"/>
                <w:b/>
                <w:sz w:val="20"/>
              </w:rPr>
              <w:br w:type="textWrapping"/>
            </w:r>
            <w:r>
              <w:rPr>
                <w:rFonts w:hint="eastAsia"/>
                <w:b/>
                <w:sz w:val="20"/>
              </w:rPr>
              <w:t>IEC600086.4-2000 《锂电池的安全性》</w:t>
            </w:r>
            <w:r>
              <w:rPr>
                <w:rFonts w:hint="eastAsia"/>
                <w:b/>
                <w:sz w:val="20"/>
              </w:rPr>
              <w:br w:type="textWrapping"/>
            </w:r>
            <w:r>
              <w:rPr>
                <w:rFonts w:hint="eastAsia"/>
                <w:b/>
                <w:sz w:val="20"/>
              </w:rPr>
              <w:t>JIS C8711-2000 《日本便携器械用锂二次池标准》</w:t>
            </w:r>
            <w:r>
              <w:rPr>
                <w:rFonts w:hint="eastAsia"/>
                <w:b/>
                <w:sz w:val="20"/>
              </w:rPr>
              <w:br w:type="textWrapping"/>
            </w:r>
            <w:r>
              <w:rPr>
                <w:rFonts w:hint="eastAsia"/>
                <w:b/>
                <w:sz w:val="20"/>
              </w:rPr>
              <w:t>JIS C8513-2000  《锂电池的安全标准》</w:t>
            </w:r>
          </w:p>
          <w:p>
            <w:pPr>
              <w:rPr>
                <w:b/>
                <w:color w:val="000000" w:themeColor="text1"/>
                <w:sz w:val="20"/>
                <w:szCs w:val="20"/>
              </w:rPr>
            </w:pPr>
            <w:r>
              <w:rPr>
                <w:rFonts w:hint="eastAsia"/>
                <w:b/>
                <w:sz w:val="20"/>
              </w:rPr>
              <w:t>GB 31241-2014《便携式电子产品用锂离子电池和电池组安全要求》</w:t>
            </w:r>
          </w:p>
        </w:tc>
      </w:tr>
    </w:tbl>
    <w:p>
      <w:pPr>
        <w:spacing w:line="360" w:lineRule="auto"/>
        <w:ind w:left="-137" w:leftChars="-337" w:hanging="571" w:hangingChars="271"/>
        <w:rPr>
          <w:b/>
          <w:color w:val="000000" w:themeColor="text1"/>
          <w:szCs w:val="21"/>
        </w:rPr>
      </w:pP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sym w:font="Wingdings 2" w:char="0052"/>
      </w: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FF0000"/>
                <w:sz w:val="20"/>
                <w:szCs w:val="20"/>
              </w:rPr>
            </w:pPr>
            <w:r>
              <w:rPr>
                <w:rFonts w:hint="eastAsia" w:ascii="宋体" w:hAnsi="宋体"/>
                <w:b/>
                <w:color w:val="auto"/>
                <w:sz w:val="20"/>
                <w:szCs w:val="20"/>
              </w:rPr>
              <w:t>(一)策划的充分与合理性</w:t>
            </w:r>
          </w:p>
        </w:tc>
        <w:tc>
          <w:tcPr>
            <w:tcW w:w="9198" w:type="dxa"/>
          </w:tcPr>
          <w:p>
            <w:pPr>
              <w:spacing w:line="240" w:lineRule="exact"/>
              <w:rPr>
                <w:b/>
                <w:color w:val="auto"/>
                <w:sz w:val="20"/>
                <w:szCs w:val="20"/>
              </w:rPr>
            </w:pPr>
            <w:r>
              <w:rPr>
                <w:b/>
                <w:color w:val="auto"/>
                <w:sz w:val="20"/>
                <w:szCs w:val="20"/>
              </w:rPr>
              <w:t>1、</w:t>
            </w:r>
            <w:r>
              <w:rPr>
                <w:rFonts w:hint="eastAsia"/>
                <w:b/>
                <w:color w:val="auto"/>
                <w:sz w:val="20"/>
                <w:szCs w:val="20"/>
              </w:rPr>
              <w:t>组织及其环境的识别情况</w:t>
            </w:r>
          </w:p>
          <w:p>
            <w:pPr>
              <w:spacing w:line="240" w:lineRule="exact"/>
              <w:rPr>
                <w:b/>
                <w:color w:val="FF0000"/>
                <w:sz w:val="20"/>
                <w:szCs w:val="20"/>
              </w:rPr>
            </w:pPr>
            <w:r>
              <w:rPr>
                <w:rFonts w:hint="eastAsia"/>
                <w:color w:val="auto"/>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任命管理者代表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9198" w:type="dxa"/>
          </w:tcPr>
          <w:p>
            <w:pPr>
              <w:spacing w:line="240" w:lineRule="exact"/>
              <w:rPr>
                <w:b/>
                <w:color w:val="auto"/>
                <w:sz w:val="20"/>
                <w:szCs w:val="20"/>
              </w:rPr>
            </w:pPr>
            <w:r>
              <w:rPr>
                <w:b/>
                <w:color w:val="FF0000"/>
                <w:sz w:val="20"/>
                <w:szCs w:val="20"/>
              </w:rPr>
              <w:t>2</w:t>
            </w:r>
            <w:r>
              <w:rPr>
                <w:b/>
                <w:color w:val="auto"/>
                <w:sz w:val="20"/>
                <w:szCs w:val="20"/>
              </w:rPr>
              <w:t>、</w:t>
            </w:r>
            <w:r>
              <w:rPr>
                <w:rFonts w:hint="eastAsia"/>
                <w:b/>
                <w:color w:val="auto"/>
                <w:sz w:val="20"/>
                <w:szCs w:val="20"/>
              </w:rPr>
              <w:t>相关方需求和期望识别情况</w:t>
            </w:r>
          </w:p>
          <w:p>
            <w:pPr>
              <w:spacing w:line="240" w:lineRule="exact"/>
              <w:rPr>
                <w:color w:val="auto"/>
              </w:rPr>
            </w:pPr>
            <w:r>
              <w:rPr>
                <w:rFonts w:hint="eastAsia"/>
                <w:color w:val="auto"/>
              </w:rPr>
              <w:t>提供了</w:t>
            </w:r>
            <w:r>
              <w:rPr>
                <w:color w:val="auto"/>
              </w:rPr>
              <w:t>相关方需求和期望一览表</w:t>
            </w:r>
            <w:r>
              <w:rPr>
                <w:rFonts w:hint="eastAsia"/>
                <w:color w:val="auto"/>
              </w:rPr>
              <w:t>，调查分析基本齐全，确定了优先考虑的顺序。</w:t>
            </w:r>
          </w:p>
          <w:p>
            <w:pPr>
              <w:spacing w:line="240" w:lineRule="exact"/>
              <w:rPr>
                <w:b/>
                <w:color w:val="FF0000"/>
                <w:sz w:val="20"/>
                <w:szCs w:val="20"/>
              </w:rPr>
            </w:pPr>
            <w:r>
              <w:rPr>
                <w:rFonts w:hint="eastAsia"/>
                <w:color w:val="auto"/>
              </w:rPr>
              <w:t>管理层负责对上述调查项的动态监视和评审，因</w:t>
            </w:r>
            <w:r>
              <w:rPr>
                <w:rFonts w:hint="default"/>
                <w:color w:val="auto"/>
              </w:rPr>
              <w:t>管理</w:t>
            </w:r>
            <w:r>
              <w:rPr>
                <w:rFonts w:hint="eastAsia"/>
                <w:color w:val="auto"/>
              </w:rPr>
              <w:t>体系建立时间不长，未发生明显变化的情况。下次监督时进一步予以关注。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9198" w:type="dxa"/>
          </w:tcPr>
          <w:p>
            <w:pPr>
              <w:spacing w:line="280" w:lineRule="exact"/>
              <w:rPr>
                <w:rFonts w:ascii="宋体" w:hAnsi="宋体"/>
                <w:b/>
                <w:color w:val="auto"/>
                <w:sz w:val="20"/>
                <w:szCs w:val="20"/>
              </w:rPr>
            </w:pPr>
            <w:r>
              <w:rPr>
                <w:b/>
                <w:color w:val="FF0000"/>
                <w:sz w:val="20"/>
                <w:szCs w:val="20"/>
              </w:rPr>
              <w:t>3</w:t>
            </w:r>
            <w:r>
              <w:rPr>
                <w:rFonts w:hint="eastAsia"/>
                <w:b/>
                <w:color w:val="auto"/>
                <w:spacing w:val="-10"/>
                <w:szCs w:val="21"/>
              </w:rPr>
              <w:sym w:font="Wingdings 2" w:char="0052"/>
            </w:r>
            <w:r>
              <w:rPr>
                <w:rFonts w:hint="eastAsia" w:ascii="宋体" w:hAnsi="宋体"/>
                <w:b/>
                <w:color w:val="auto"/>
                <w:sz w:val="20"/>
                <w:szCs w:val="20"/>
              </w:rPr>
              <w:t>质量/</w:t>
            </w:r>
            <w:r>
              <w:rPr>
                <w:rFonts w:hint="eastAsia"/>
                <w:b/>
                <w:color w:val="auto"/>
                <w:spacing w:val="-10"/>
                <w:szCs w:val="21"/>
              </w:rPr>
              <w:sym w:font="Wingdings 2" w:char="0052"/>
            </w:r>
            <w:r>
              <w:rPr>
                <w:rFonts w:hint="eastAsia" w:ascii="宋体" w:hAnsi="宋体"/>
                <w:b/>
                <w:color w:val="auto"/>
                <w:sz w:val="20"/>
                <w:szCs w:val="20"/>
              </w:rPr>
              <w:t>环境/</w:t>
            </w:r>
            <w:r>
              <w:rPr>
                <w:rFonts w:hint="eastAsia"/>
                <w:b/>
                <w:color w:val="auto"/>
                <w:spacing w:val="-10"/>
                <w:szCs w:val="21"/>
              </w:rPr>
              <w:sym w:font="Wingdings 2" w:char="00A3"/>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adjustRightInd w:val="0"/>
              <w:spacing w:line="480" w:lineRule="exact"/>
              <w:textAlignment w:val="baseline"/>
              <w:rPr>
                <w:rFonts w:ascii="微软雅黑" w:hAnsi="微软雅黑" w:eastAsia="微软雅黑"/>
                <w:color w:val="auto"/>
                <w:szCs w:val="22"/>
              </w:rPr>
            </w:pPr>
            <w:r>
              <w:rPr>
                <w:rFonts w:hint="eastAsia" w:ascii="微软雅黑" w:hAnsi="微软雅黑" w:eastAsia="微软雅黑"/>
                <w:color w:val="auto"/>
                <w:szCs w:val="22"/>
              </w:rPr>
              <w:t>公司的质量、环境方针是：</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倡导务实创新，追求卓越品质；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注重素质培养，精诚团结协作；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科学规范管理，守法诚信经营；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实施绿色战略，打造绿色炭素；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环境和谐共生，实现持续改进。</w:t>
            </w:r>
          </w:p>
          <w:p>
            <w:pPr>
              <w:spacing w:line="240" w:lineRule="exact"/>
              <w:ind w:left="199" w:leftChars="95"/>
              <w:rPr>
                <w:b/>
                <w:color w:val="FF0000"/>
              </w:rPr>
            </w:pPr>
            <w:r>
              <w:rPr>
                <w:color w:val="auto"/>
                <w:u w:val="single"/>
              </w:rPr>
              <w:t>管理方针在内部适当的沟通</w:t>
            </w:r>
            <w:r>
              <w:rPr>
                <w:rFonts w:hint="eastAsia"/>
                <w:color w:val="auto"/>
                <w:u w:val="single"/>
              </w:rPr>
              <w:t>，</w:t>
            </w:r>
            <w:r>
              <w:rPr>
                <w:color w:val="auto"/>
                <w:u w:val="single"/>
              </w:rPr>
              <w:t>管理评审时进行了评审</w:t>
            </w:r>
            <w:r>
              <w:rPr>
                <w:rFonts w:hint="eastAsia"/>
                <w:color w:val="auto"/>
                <w:u w:val="single"/>
              </w:rPr>
              <w:t>，</w:t>
            </w:r>
            <w:r>
              <w:rPr>
                <w:color w:val="auto"/>
                <w:u w:val="single"/>
              </w:rPr>
              <w:t>方针适宜</w:t>
            </w:r>
            <w:r>
              <w:rPr>
                <w:rFonts w:hint="eastAsia"/>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9198" w:type="dxa"/>
          </w:tcPr>
          <w:p>
            <w:pPr>
              <w:spacing w:line="240" w:lineRule="exact"/>
              <w:rPr>
                <w:b/>
                <w:color w:val="auto"/>
              </w:rPr>
            </w:pPr>
            <w:r>
              <w:rPr>
                <w:b/>
                <w:color w:val="auto"/>
              </w:rPr>
              <w:t>4、</w:t>
            </w:r>
            <w:r>
              <w:rPr>
                <w:rFonts w:hint="eastAsia"/>
                <w:b/>
                <w:color w:val="auto"/>
              </w:rPr>
              <w:t>风险识别与控制策划</w:t>
            </w:r>
          </w:p>
          <w:p>
            <w:pPr>
              <w:spacing w:line="240" w:lineRule="exact"/>
              <w:rPr>
                <w:b/>
                <w:color w:val="FF0000"/>
              </w:rPr>
            </w:pPr>
            <w:r>
              <w:rPr>
                <w:rFonts w:hint="eastAsia"/>
                <w:color w:val="auto"/>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color w:val="auto"/>
              </w:rPr>
            </w:pPr>
            <w:r>
              <w:rPr>
                <w:rFonts w:hint="eastAsia" w:ascii="宋体" w:hAnsi="宋体"/>
                <w:b/>
                <w:color w:val="auto"/>
                <w:sz w:val="20"/>
                <w:szCs w:val="20"/>
              </w:rPr>
              <w:t>质量管理体系过程有：</w:t>
            </w:r>
            <w:r>
              <w:rPr>
                <w:rFonts w:hint="eastAsia" w:ascii="宋体" w:hAnsi="宋体"/>
                <w:color w:val="auto"/>
              </w:rPr>
              <w:t>人力资源、基础设施、文件、机构、职责、产品和服务的要求、外部提供的产品和服务、交付、不合格输出控制、绩效评价、改进过程等</w:t>
            </w:r>
          </w:p>
          <w:p>
            <w:pPr>
              <w:tabs>
                <w:tab w:val="left" w:pos="540"/>
              </w:tabs>
              <w:spacing w:line="300" w:lineRule="exact"/>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交付过程，</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 xml:space="preserve">需要确认过程  </w:t>
            </w:r>
            <w:r>
              <w:rPr>
                <w:rFonts w:hint="eastAsia" w:ascii="宋体" w:hAnsi="宋体"/>
                <w:b/>
                <w:color w:val="auto"/>
                <w:sz w:val="20"/>
                <w:szCs w:val="20"/>
                <w:lang w:val="en-US" w:eastAsia="zh-CN"/>
              </w:rPr>
              <w:t xml:space="preserve">点焊过程  </w:t>
            </w:r>
            <w:r>
              <w:rPr>
                <w:rFonts w:hint="eastAsia" w:ascii="宋体" w:hAnsi="宋体"/>
                <w:b/>
                <w:color w:val="auto"/>
                <w:sz w:val="20"/>
                <w:szCs w:val="20"/>
              </w:rPr>
              <w:t>销售和服务过程</w:t>
            </w:r>
            <w:r>
              <w:rPr>
                <w:rFonts w:hint="eastAsia" w:ascii="宋体" w:hAnsi="宋体"/>
                <w:b/>
                <w:color w:val="auto"/>
                <w:sz w:val="20"/>
                <w:szCs w:val="20"/>
                <w:u w:val="single"/>
              </w:rPr>
              <w:t>，</w:t>
            </w:r>
          </w:p>
          <w:p>
            <w:pPr>
              <w:keepNext w:val="0"/>
              <w:keepLines w:val="0"/>
              <w:widowControl/>
              <w:suppressLineNumbers w:val="0"/>
              <w:jc w:val="left"/>
              <w:rPr>
                <w:color w:val="auto"/>
              </w:rPr>
            </w:pPr>
            <w:r>
              <w:rPr>
                <w:b/>
                <w:color w:val="auto"/>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 xml:space="preserve">不适用条款是  ，不适用理由： 8.3  </w:t>
            </w:r>
            <w:r>
              <w:rPr>
                <w:rFonts w:hint="eastAsia" w:ascii="宋体" w:hAnsi="宋体"/>
                <w:b/>
                <w:color w:val="auto"/>
                <w:sz w:val="20"/>
                <w:szCs w:val="20"/>
                <w:lang w:val="en-US" w:eastAsia="zh-CN"/>
              </w:rPr>
              <w:t>外包过程：</w:t>
            </w:r>
            <w:r>
              <w:rPr>
                <w:rFonts w:hint="eastAsia" w:ascii="宋体" w:hAnsi="宋体" w:eastAsia="宋体" w:cs="宋体"/>
                <w:color w:val="auto"/>
                <w:kern w:val="0"/>
                <w:sz w:val="24"/>
                <w:szCs w:val="24"/>
                <w:lang w:val="en-US" w:eastAsia="zh-CN" w:bidi="ar"/>
              </w:rPr>
              <w:t>产品运输</w:t>
            </w:r>
          </w:p>
          <w:p>
            <w:pPr>
              <w:spacing w:line="320" w:lineRule="exact"/>
              <w:rPr>
                <w:rFonts w:asciiTheme="minorEastAsia" w:hAnsiTheme="minorEastAsia" w:eastAsiaTheme="minorEastAsia"/>
                <w:color w:val="FF0000"/>
                <w:sz w:val="21"/>
                <w:szCs w:val="21"/>
              </w:rPr>
            </w:pPr>
            <w:r>
              <w:rPr>
                <w:rFonts w:ascii="宋体" w:hAnsi="宋体"/>
                <w:b/>
                <w:color w:val="auto"/>
                <w:sz w:val="20"/>
                <w:szCs w:val="20"/>
              </w:rPr>
              <w:t>不适用说明</w:t>
            </w:r>
            <w:r>
              <w:rPr>
                <w:rFonts w:hint="eastAsia" w:ascii="宋体" w:hAnsi="宋体"/>
                <w:b/>
                <w:color w:val="auto"/>
                <w:sz w:val="20"/>
                <w:szCs w:val="20"/>
              </w:rPr>
              <w:t>：</w:t>
            </w:r>
            <w:r>
              <w:rPr>
                <w:rFonts w:asciiTheme="minorEastAsia" w:hAnsiTheme="minorEastAsia" w:eastAsiaTheme="minorEastAsia"/>
                <w:color w:val="auto"/>
                <w:sz w:val="21"/>
                <w:szCs w:val="21"/>
              </w:rPr>
              <w:t>本公司按照GB/T19001-2016标准要求及公司的实际情况编制</w:t>
            </w:r>
            <w:r>
              <w:rPr>
                <w:rFonts w:hint="eastAsia" w:asciiTheme="minorEastAsia" w:hAnsiTheme="minorEastAsia" w:eastAsiaTheme="minorEastAsia"/>
                <w:color w:val="auto"/>
                <w:sz w:val="21"/>
                <w:szCs w:val="21"/>
              </w:rPr>
              <w:t>。公司</w:t>
            </w:r>
            <w:r>
              <w:rPr>
                <w:rFonts w:ascii="宋体" w:hAnsi="宋体"/>
                <w:b/>
                <w:color w:val="auto"/>
                <w:sz w:val="20"/>
                <w:szCs w:val="20"/>
              </w:rPr>
              <w:t>锂离子电池的组装及销售</w:t>
            </w:r>
            <w:r>
              <w:rPr>
                <w:rFonts w:hint="eastAsia" w:asciiTheme="minorEastAsia" w:hAnsiTheme="minorEastAsia" w:eastAsiaTheme="minorEastAsia"/>
                <w:color w:val="auto"/>
                <w:sz w:val="21"/>
                <w:szCs w:val="21"/>
              </w:rPr>
              <w:t>产品均按照</w:t>
            </w:r>
            <w:r>
              <w:rPr>
                <w:rFonts w:hint="default" w:asciiTheme="minorEastAsia" w:hAnsiTheme="minorEastAsia" w:eastAsiaTheme="minorEastAsia"/>
                <w:color w:val="auto"/>
                <w:sz w:val="21"/>
                <w:szCs w:val="21"/>
              </w:rPr>
              <w:t>国际/</w:t>
            </w:r>
            <w:r>
              <w:rPr>
                <w:rFonts w:hint="eastAsia" w:asciiTheme="minorEastAsia" w:hAnsiTheme="minorEastAsia" w:eastAsiaTheme="minorEastAsia"/>
                <w:color w:val="auto"/>
                <w:sz w:val="21"/>
                <w:szCs w:val="21"/>
              </w:rPr>
              <w:t>国家标准、行业标准或顾客要求提供，不存在产品的设计和开发过程。故8.3条款不适用。</w:t>
            </w: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 w:val="21"/>
                <w:szCs w:val="21"/>
              </w:rPr>
              <w:t>Q8.3条款不适用的要求不影响组织确保其产品和服务合格的能力或责任，对增强顾客满意也不会产生任何影响。不适用说明较充分。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rFonts w:ascii="宋体" w:hAnsi="宋体"/>
                <w:b w:val="0"/>
                <w:bCs/>
                <w:color w:val="auto"/>
                <w:spacing w:val="-12"/>
                <w:sz w:val="20"/>
                <w:szCs w:val="20"/>
              </w:rPr>
            </w:pPr>
            <w:r>
              <w:rPr>
                <w:rFonts w:hint="eastAsia"/>
                <w:b w:val="0"/>
                <w:bCs/>
                <w:color w:val="auto"/>
                <w:sz w:val="20"/>
                <w:szCs w:val="20"/>
              </w:rPr>
              <w:t xml:space="preserve">6. </w:t>
            </w:r>
            <w:r>
              <w:rPr>
                <w:b w:val="0"/>
                <w:bCs/>
                <w:color w:val="auto"/>
                <w:spacing w:val="-12"/>
                <w:sz w:val="20"/>
                <w:szCs w:val="20"/>
              </w:rPr>
              <w:t>EMS</w:t>
            </w:r>
            <w:r>
              <w:rPr>
                <w:rFonts w:hint="eastAsia" w:ascii="宋体" w:hAnsi="宋体"/>
                <w:b w:val="0"/>
                <w:bCs/>
                <w:color w:val="auto"/>
                <w:spacing w:val="-12"/>
                <w:sz w:val="20"/>
                <w:szCs w:val="20"/>
              </w:rPr>
              <w:t>环境因素/</w:t>
            </w:r>
          </w:p>
          <w:p>
            <w:pPr>
              <w:spacing w:line="300" w:lineRule="exact"/>
              <w:rPr>
                <w:rFonts w:ascii="宋体" w:hAnsi="宋体"/>
                <w:b w:val="0"/>
                <w:bCs/>
                <w:color w:val="auto"/>
                <w:spacing w:val="-8"/>
                <w:sz w:val="20"/>
                <w:szCs w:val="20"/>
              </w:rPr>
            </w:pPr>
            <w:r>
              <w:rPr>
                <w:rFonts w:hint="eastAsia" w:ascii="宋体" w:hAnsi="宋体"/>
                <w:b w:val="0"/>
                <w:bCs/>
                <w:color w:val="auto"/>
                <w:sz w:val="20"/>
                <w:szCs w:val="20"/>
              </w:rPr>
              <w:t>（</w:t>
            </w:r>
            <w:r>
              <w:rPr>
                <w:rFonts w:hint="eastAsia" w:ascii="宋体" w:hAnsi="宋体"/>
                <w:b w:val="0"/>
                <w:bCs/>
                <w:color w:val="auto"/>
                <w:spacing w:val="-8"/>
                <w:sz w:val="20"/>
                <w:szCs w:val="20"/>
              </w:rPr>
              <w:t>环境因素</w:t>
            </w:r>
            <w:r>
              <w:rPr>
                <w:rFonts w:hint="eastAsia" w:ascii="宋体" w:hAnsi="宋体"/>
                <w:b w:val="0"/>
                <w:bCs/>
                <w:color w:val="auto"/>
                <w:sz w:val="20"/>
                <w:szCs w:val="20"/>
              </w:rPr>
              <w:t>辨识是否充分、重要环境因素评价合理性，</w:t>
            </w:r>
            <w:r>
              <w:rPr>
                <w:rFonts w:hint="eastAsia" w:ascii="宋体" w:hAnsi="宋体"/>
                <w:b w:val="0"/>
                <w:bCs/>
                <w:color w:val="auto"/>
                <w:spacing w:val="-8"/>
                <w:sz w:val="20"/>
                <w:szCs w:val="20"/>
              </w:rPr>
              <w:t>以及环境因素动态变更的及时性等）</w:t>
            </w:r>
          </w:p>
          <w:p>
            <w:pPr>
              <w:spacing w:line="320" w:lineRule="exact"/>
              <w:rPr>
                <w:rFonts w:ascii="宋体" w:hAnsi="宋体"/>
                <w:b w:val="0"/>
                <w:bCs/>
                <w:color w:val="auto"/>
                <w:szCs w:val="21"/>
              </w:rPr>
            </w:pPr>
            <w:r>
              <w:rPr>
                <w:rFonts w:hint="eastAsia" w:ascii="宋体" w:hAnsi="宋体"/>
                <w:b w:val="0"/>
                <w:bCs/>
                <w:color w:val="auto"/>
                <w:szCs w:val="21"/>
              </w:rPr>
              <w:t>识别了</w:t>
            </w:r>
            <w:r>
              <w:rPr>
                <w:rFonts w:ascii="宋体" w:hAnsi="宋体"/>
                <w:b w:val="0"/>
                <w:bCs/>
                <w:color w:val="auto"/>
                <w:sz w:val="20"/>
                <w:szCs w:val="20"/>
              </w:rPr>
              <w:t>锂离子电池的组装及销售</w:t>
            </w:r>
            <w:r>
              <w:rPr>
                <w:rFonts w:hint="eastAsia" w:ascii="宋体" w:hAnsi="宋体"/>
                <w:b w:val="0"/>
                <w:bCs/>
                <w:color w:val="auto"/>
                <w:szCs w:val="21"/>
              </w:rPr>
              <w:t>等过程的环境因素，动态更新，评价出的重要环境因素包括：固体废弃物排放、火灾隐患等。</w:t>
            </w:r>
          </w:p>
          <w:p>
            <w:pPr>
              <w:tabs>
                <w:tab w:val="left" w:pos="2552"/>
              </w:tabs>
              <w:spacing w:line="240" w:lineRule="exact"/>
              <w:rPr>
                <w:rFonts w:ascii="宋体" w:hAnsi="宋体"/>
                <w:b w:val="0"/>
                <w:bCs/>
                <w:color w:val="auto"/>
                <w:szCs w:val="21"/>
              </w:rPr>
            </w:pPr>
            <w:r>
              <w:rPr>
                <w:rFonts w:hint="eastAsia" w:ascii="宋体" w:hAnsi="宋体"/>
                <w:b w:val="0"/>
                <w:bCs/>
                <w:color w:val="auto"/>
                <w:szCs w:val="21"/>
              </w:rPr>
              <w:t>在采购、销售、质检、运输、交付、日常办公等过程能使用生命周期观点和方法识别环境因素并加以管理。</w:t>
            </w:r>
          </w:p>
          <w:p>
            <w:pPr>
              <w:tabs>
                <w:tab w:val="left" w:pos="2552"/>
              </w:tabs>
              <w:spacing w:line="240" w:lineRule="exact"/>
              <w:rPr>
                <w:b/>
                <w:color w:val="FF0000"/>
                <w:sz w:val="20"/>
                <w:szCs w:val="20"/>
              </w:rPr>
            </w:pPr>
            <w:r>
              <w:rPr>
                <w:rFonts w:hint="eastAsia" w:ascii="宋体" w:hAnsi="宋体"/>
                <w:b w:val="0"/>
                <w:bCs/>
                <w:color w:val="auto"/>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rFonts w:ascii="宋体" w:hAnsi="宋体"/>
                <w:b/>
                <w:color w:val="auto"/>
                <w:spacing w:val="-12"/>
                <w:sz w:val="20"/>
                <w:szCs w:val="20"/>
              </w:rPr>
            </w:pPr>
            <w:r>
              <w:rPr>
                <w:rFonts w:hint="eastAsia"/>
                <w:b/>
                <w:color w:val="auto"/>
                <w:spacing w:val="-10"/>
                <w:sz w:val="20"/>
                <w:szCs w:val="20"/>
              </w:rPr>
              <w:t xml:space="preserve">7. </w:t>
            </w:r>
            <w:r>
              <w:rPr>
                <w:b/>
                <w:color w:val="auto"/>
                <w:spacing w:val="-12"/>
                <w:sz w:val="20"/>
                <w:szCs w:val="20"/>
              </w:rPr>
              <w:t>OHSMS</w:t>
            </w:r>
            <w:r>
              <w:rPr>
                <w:rFonts w:hint="eastAsia" w:ascii="宋体" w:hAnsi="宋体"/>
                <w:b/>
                <w:color w:val="auto"/>
                <w:spacing w:val="-12"/>
                <w:sz w:val="20"/>
                <w:szCs w:val="20"/>
              </w:rPr>
              <w:t>职业健康安全危险源</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职业健康安全危险源</w:t>
            </w:r>
            <w:r>
              <w:rPr>
                <w:rFonts w:hint="eastAsia" w:ascii="宋体" w:hAnsi="宋体"/>
                <w:b/>
                <w:color w:val="auto"/>
                <w:sz w:val="20"/>
                <w:szCs w:val="20"/>
              </w:rPr>
              <w:t>辨识是否充分、风险评价合理性，</w:t>
            </w:r>
            <w:r>
              <w:rPr>
                <w:rFonts w:hint="eastAsia" w:ascii="宋体" w:hAnsi="宋体"/>
                <w:b/>
                <w:color w:val="auto"/>
                <w:spacing w:val="-8"/>
                <w:sz w:val="20"/>
                <w:szCs w:val="20"/>
              </w:rPr>
              <w:t>以及风险评价动态变更的及时性等）</w:t>
            </w:r>
          </w:p>
          <w:p>
            <w:pPr>
              <w:spacing w:line="240" w:lineRule="exact"/>
              <w:ind w:firstLine="420" w:firstLineChars="200"/>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b w:val="0"/>
                <w:bCs/>
                <w:color w:val="auto"/>
                <w:spacing w:val="-4"/>
                <w:szCs w:val="21"/>
              </w:rPr>
            </w:pPr>
            <w:r>
              <w:rPr>
                <w:rFonts w:hint="eastAsia"/>
                <w:b w:val="0"/>
                <w:bCs/>
                <w:color w:val="auto"/>
                <w:szCs w:val="21"/>
              </w:rPr>
              <w:t xml:space="preserve">8. </w:t>
            </w:r>
            <w:r>
              <w:rPr>
                <w:rFonts w:hint="eastAsia" w:ascii="宋体" w:hAnsi="宋体"/>
                <w:b w:val="0"/>
                <w:bCs/>
                <w:color w:val="auto"/>
                <w:spacing w:val="-4"/>
                <w:szCs w:val="21"/>
              </w:rPr>
              <w:t>法律法规及其他要求</w:t>
            </w:r>
          </w:p>
          <w:p>
            <w:pPr>
              <w:tabs>
                <w:tab w:val="left" w:pos="540"/>
              </w:tabs>
              <w:spacing w:line="300" w:lineRule="exact"/>
              <w:ind w:left="211" w:hanging="210" w:hangingChars="100"/>
              <w:rPr>
                <w:rFonts w:ascii="宋体" w:hAnsi="宋体"/>
                <w:b w:val="0"/>
                <w:bCs/>
                <w:color w:val="auto"/>
                <w:szCs w:val="21"/>
              </w:rPr>
            </w:pPr>
          </w:p>
          <w:p>
            <w:pPr>
              <w:pStyle w:val="12"/>
              <w:numPr>
                <w:ilvl w:val="0"/>
                <w:numId w:val="2"/>
              </w:numPr>
              <w:tabs>
                <w:tab w:val="left" w:pos="540"/>
              </w:tabs>
              <w:spacing w:line="300" w:lineRule="exact"/>
              <w:ind w:firstLineChars="0"/>
              <w:rPr>
                <w:rFonts w:ascii="宋体" w:hAnsi="宋体"/>
                <w:b w:val="0"/>
                <w:bCs/>
                <w:color w:val="auto"/>
                <w:szCs w:val="21"/>
              </w:rPr>
            </w:pPr>
            <w:r>
              <w:rPr>
                <w:rFonts w:hint="eastAsia" w:ascii="宋体" w:hAnsi="宋体"/>
                <w:b w:val="0"/>
                <w:bCs/>
                <w:color w:val="auto"/>
                <w:szCs w:val="21"/>
              </w:rPr>
              <w:t>获取法律法规项，■法律法规获取充分，□法律法规获取有遗漏，缺少</w:t>
            </w:r>
          </w:p>
          <w:p>
            <w:pPr>
              <w:tabs>
                <w:tab w:val="left" w:pos="540"/>
              </w:tabs>
              <w:spacing w:line="300" w:lineRule="exact"/>
              <w:ind w:left="0" w:leftChars="-43" w:hanging="90" w:hangingChars="43"/>
              <w:rPr>
                <w:rFonts w:ascii="宋体" w:hAnsi="宋体"/>
                <w:b w:val="0"/>
                <w:bCs/>
                <w:color w:val="auto"/>
                <w:szCs w:val="21"/>
                <w:u w:val="single"/>
              </w:rPr>
            </w:pPr>
          </w:p>
          <w:p>
            <w:pPr>
              <w:pStyle w:val="12"/>
              <w:numPr>
                <w:ilvl w:val="0"/>
                <w:numId w:val="2"/>
              </w:numPr>
              <w:tabs>
                <w:tab w:val="left" w:pos="540"/>
              </w:tabs>
              <w:spacing w:line="300" w:lineRule="exact"/>
              <w:ind w:firstLineChars="0"/>
              <w:rPr>
                <w:rFonts w:ascii="宋体" w:hAnsi="宋体"/>
                <w:b w:val="0"/>
                <w:bCs/>
                <w:color w:val="auto"/>
                <w:szCs w:val="21"/>
              </w:rPr>
            </w:pPr>
            <w:r>
              <w:rPr>
                <w:rFonts w:hint="eastAsia" w:ascii="宋体" w:hAnsi="宋体"/>
                <w:b w:val="0"/>
                <w:bCs/>
                <w:color w:val="auto"/>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val="0"/>
                <w:bCs/>
                <w:color w:val="auto"/>
                <w:szCs w:val="21"/>
              </w:rPr>
            </w:pPr>
            <w:r>
              <w:rPr>
                <w:rFonts w:hint="eastAsia" w:ascii="宋体" w:hAnsi="宋体"/>
                <w:b w:val="0"/>
                <w:bCs/>
                <w:color w:val="auto"/>
                <w:szCs w:val="21"/>
              </w:rPr>
              <w:t>法律法规的宣传方式：公司通过培训、会议等方式向有关员工传达法律、法规及其它要求的相关要求。</w:t>
            </w:r>
          </w:p>
          <w:p>
            <w:pPr>
              <w:pStyle w:val="12"/>
              <w:numPr>
                <w:ilvl w:val="0"/>
                <w:numId w:val="2"/>
              </w:numPr>
              <w:tabs>
                <w:tab w:val="left" w:pos="540"/>
              </w:tabs>
              <w:spacing w:line="300" w:lineRule="exact"/>
              <w:ind w:firstLineChars="0"/>
              <w:rPr>
                <w:b w:val="0"/>
                <w:bCs/>
                <w:color w:val="auto"/>
                <w:sz w:val="14"/>
                <w:szCs w:val="14"/>
              </w:rPr>
            </w:pPr>
            <w:r>
              <w:rPr>
                <w:rFonts w:hint="eastAsia" w:ascii="宋体" w:hAnsi="宋体"/>
                <w:b w:val="0"/>
                <w:bCs/>
                <w:color w:val="auto"/>
                <w:szCs w:val="21"/>
              </w:rPr>
              <w:t>法律法规要求及时更新了：公司现有版本为最新版本，每年更新一次。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rFonts w:ascii="宋体" w:hAnsi="宋体"/>
                <w:b w:val="0"/>
                <w:bCs/>
                <w:color w:val="auto"/>
                <w:szCs w:val="21"/>
              </w:rPr>
            </w:pPr>
            <w:r>
              <w:rPr>
                <w:rFonts w:hint="eastAsia"/>
                <w:b w:val="0"/>
                <w:bCs/>
                <w:color w:val="auto"/>
                <w:szCs w:val="21"/>
              </w:rPr>
              <w:t xml:space="preserve">9. </w:t>
            </w:r>
            <w:r>
              <w:rPr>
                <w:rFonts w:hint="eastAsia" w:ascii="宋体" w:hAnsi="宋体"/>
                <w:b w:val="0"/>
                <w:bCs/>
                <w:color w:val="auto"/>
                <w:szCs w:val="21"/>
              </w:rPr>
              <w:t>目标、方案</w:t>
            </w:r>
          </w:p>
          <w:p>
            <w:pPr>
              <w:spacing w:line="300" w:lineRule="exact"/>
              <w:rPr>
                <w:rFonts w:ascii="宋体" w:hAnsi="宋体"/>
                <w:b w:val="0"/>
                <w:bCs/>
                <w:color w:val="auto"/>
                <w:sz w:val="20"/>
                <w:szCs w:val="20"/>
              </w:rPr>
            </w:pPr>
            <w:r>
              <w:rPr>
                <w:rFonts w:hint="eastAsia"/>
                <w:b w:val="0"/>
                <w:bCs/>
                <w:color w:val="auto"/>
                <w:sz w:val="20"/>
                <w:szCs w:val="20"/>
              </w:rPr>
              <w:t>（</w:t>
            </w:r>
            <w:r>
              <w:rPr>
                <w:rFonts w:hint="eastAsia" w:ascii="宋体" w:hAnsi="宋体"/>
                <w:b w:val="0"/>
                <w:bCs/>
                <w:color w:val="auto"/>
                <w:spacing w:val="-4"/>
                <w:sz w:val="20"/>
                <w:szCs w:val="20"/>
              </w:rPr>
              <w:t>在相关层次上建立</w:t>
            </w:r>
            <w:r>
              <w:rPr>
                <w:rFonts w:hint="eastAsia" w:ascii="宋体" w:hAnsi="宋体"/>
                <w:b w:val="0"/>
                <w:bCs/>
                <w:color w:val="auto"/>
                <w:sz w:val="20"/>
                <w:szCs w:val="20"/>
              </w:rPr>
              <w:t>可测量的目标，目标、方案的有效性，对质量目标的实现情况进行评价并叙述测量方法）</w:t>
            </w:r>
          </w:p>
          <w:p>
            <w:pPr>
              <w:spacing w:line="360" w:lineRule="auto"/>
              <w:rPr>
                <w:rFonts w:ascii="宋体" w:hAnsi="宋体"/>
                <w:b w:val="0"/>
                <w:bCs/>
                <w:color w:val="auto"/>
              </w:rPr>
            </w:pPr>
            <w:r>
              <w:rPr>
                <w:rFonts w:hint="eastAsia" w:ascii="宋体" w:hAnsi="宋体"/>
                <w:b w:val="0"/>
                <w:bCs/>
                <w:color w:val="auto"/>
              </w:rPr>
              <w:t>公司质量：</w:t>
            </w:r>
          </w:p>
          <w:p>
            <w:pPr>
              <w:keepNext w:val="0"/>
              <w:keepLines w:val="0"/>
              <w:widowControl/>
              <w:suppressLineNumbers w:val="0"/>
              <w:jc w:val="left"/>
              <w:rPr>
                <w:b w:val="0"/>
                <w:bCs/>
                <w:color w:val="auto"/>
              </w:rPr>
            </w:pPr>
            <w:r>
              <w:rPr>
                <w:rFonts w:hint="default" w:ascii="Times New Roman" w:hAnsi="Times New Roman" w:eastAsia="宋体" w:cs="Times New Roman"/>
                <w:b w:val="0"/>
                <w:bCs/>
                <w:color w:val="auto"/>
                <w:kern w:val="0"/>
                <w:sz w:val="24"/>
                <w:szCs w:val="24"/>
                <w:lang w:val="en-US" w:eastAsia="zh-CN" w:bidi="ar"/>
              </w:rPr>
              <w:t xml:space="preserve">1) </w:t>
            </w:r>
            <w:r>
              <w:rPr>
                <w:rFonts w:hint="eastAsia" w:ascii="宋体" w:hAnsi="宋体" w:eastAsia="宋体" w:cs="宋体"/>
                <w:b w:val="0"/>
                <w:bCs/>
                <w:color w:val="auto"/>
                <w:kern w:val="0"/>
                <w:sz w:val="24"/>
                <w:szCs w:val="24"/>
                <w:lang w:val="en-US" w:eastAsia="zh-CN" w:bidi="ar"/>
              </w:rPr>
              <w:t xml:space="preserve">按期交付率 </w:t>
            </w:r>
            <w:r>
              <w:rPr>
                <w:rFonts w:hint="default" w:ascii="Times New Roman" w:hAnsi="Times New Roman" w:eastAsia="宋体" w:cs="Times New Roman"/>
                <w:b w:val="0"/>
                <w:bCs/>
                <w:color w:val="auto"/>
                <w:kern w:val="0"/>
                <w:sz w:val="24"/>
                <w:szCs w:val="24"/>
                <w:lang w:val="en-US" w:eastAsia="zh-CN" w:bidi="ar"/>
              </w:rPr>
              <w:t>98%</w:t>
            </w:r>
            <w:r>
              <w:rPr>
                <w:rFonts w:hint="eastAsia" w:ascii="宋体" w:hAnsi="宋体" w:eastAsia="宋体" w:cs="宋体"/>
                <w:b w:val="0"/>
                <w:bCs/>
                <w:color w:val="auto"/>
                <w:kern w:val="0"/>
                <w:sz w:val="24"/>
                <w:szCs w:val="24"/>
                <w:lang w:val="en-US" w:eastAsia="zh-CN" w:bidi="ar"/>
              </w:rPr>
              <w:t xml:space="preserve">； </w:t>
            </w:r>
          </w:p>
          <w:p>
            <w:pPr>
              <w:keepNext w:val="0"/>
              <w:keepLines w:val="0"/>
              <w:widowControl/>
              <w:suppressLineNumbers w:val="0"/>
              <w:jc w:val="left"/>
              <w:rPr>
                <w:b w:val="0"/>
                <w:bCs/>
                <w:color w:val="auto"/>
              </w:rPr>
            </w:pPr>
            <w:r>
              <w:rPr>
                <w:rFonts w:hint="default" w:ascii="Times New Roman" w:hAnsi="Times New Roman" w:eastAsia="宋体" w:cs="Times New Roman"/>
                <w:b w:val="0"/>
                <w:bCs/>
                <w:color w:val="auto"/>
                <w:kern w:val="0"/>
                <w:sz w:val="24"/>
                <w:szCs w:val="24"/>
                <w:lang w:val="en-US" w:eastAsia="zh-CN" w:bidi="ar"/>
              </w:rPr>
              <w:t xml:space="preserve">2) </w:t>
            </w:r>
            <w:r>
              <w:rPr>
                <w:rFonts w:hint="eastAsia" w:ascii="宋体" w:hAnsi="宋体" w:eastAsia="宋体" w:cs="宋体"/>
                <w:b w:val="0"/>
                <w:bCs/>
                <w:color w:val="auto"/>
                <w:kern w:val="0"/>
                <w:sz w:val="24"/>
                <w:szCs w:val="24"/>
                <w:lang w:val="en-US" w:eastAsia="zh-CN" w:bidi="ar"/>
              </w:rPr>
              <w:t xml:space="preserve">用户满意度 </w:t>
            </w:r>
            <w:r>
              <w:rPr>
                <w:rFonts w:hint="default" w:ascii="Times New Roman" w:hAnsi="Times New Roman" w:eastAsia="宋体" w:cs="Times New Roman"/>
                <w:b w:val="0"/>
                <w:bCs/>
                <w:color w:val="auto"/>
                <w:kern w:val="0"/>
                <w:sz w:val="24"/>
                <w:szCs w:val="24"/>
                <w:lang w:val="en-US" w:eastAsia="zh-CN" w:bidi="ar"/>
              </w:rPr>
              <w:t>95%</w:t>
            </w:r>
            <w:r>
              <w:rPr>
                <w:rFonts w:hint="eastAsia" w:ascii="宋体" w:hAnsi="宋体" w:eastAsia="宋体" w:cs="宋体"/>
                <w:b w:val="0"/>
                <w:bCs/>
                <w:color w:val="auto"/>
                <w:kern w:val="0"/>
                <w:sz w:val="24"/>
                <w:szCs w:val="24"/>
                <w:lang w:val="en-US" w:eastAsia="zh-CN" w:bidi="ar"/>
              </w:rPr>
              <w:t xml:space="preserve">； </w:t>
            </w:r>
          </w:p>
          <w:p>
            <w:pPr>
              <w:keepNext w:val="0"/>
              <w:keepLines w:val="0"/>
              <w:widowControl/>
              <w:suppressLineNumbers w:val="0"/>
              <w:jc w:val="left"/>
              <w:rPr>
                <w:b w:val="0"/>
                <w:bCs/>
                <w:color w:val="auto"/>
              </w:rPr>
            </w:pPr>
            <w:r>
              <w:rPr>
                <w:rFonts w:hint="default" w:ascii="Times New Roman" w:hAnsi="Times New Roman" w:eastAsia="宋体" w:cs="Times New Roman"/>
                <w:b w:val="0"/>
                <w:bCs/>
                <w:color w:val="auto"/>
                <w:kern w:val="0"/>
                <w:sz w:val="24"/>
                <w:szCs w:val="24"/>
                <w:lang w:val="en-US" w:eastAsia="zh-CN" w:bidi="ar"/>
              </w:rPr>
              <w:t xml:space="preserve">3) </w:t>
            </w:r>
            <w:r>
              <w:rPr>
                <w:rFonts w:hint="eastAsia" w:ascii="宋体" w:hAnsi="宋体" w:eastAsia="宋体" w:cs="宋体"/>
                <w:b w:val="0"/>
                <w:bCs/>
                <w:color w:val="auto"/>
                <w:kern w:val="0"/>
                <w:sz w:val="24"/>
                <w:szCs w:val="24"/>
                <w:lang w:val="en-US" w:eastAsia="zh-CN" w:bidi="ar"/>
              </w:rPr>
              <w:t>一次交验合格率≥</w:t>
            </w:r>
            <w:r>
              <w:rPr>
                <w:rFonts w:hint="default" w:ascii="Times New Roman" w:hAnsi="Times New Roman" w:eastAsia="宋体" w:cs="Times New Roman"/>
                <w:b w:val="0"/>
                <w:bCs/>
                <w:color w:val="auto"/>
                <w:kern w:val="0"/>
                <w:sz w:val="24"/>
                <w:szCs w:val="24"/>
                <w:lang w:val="en-US" w:eastAsia="zh-CN" w:bidi="ar"/>
              </w:rPr>
              <w:t>97%</w:t>
            </w:r>
            <w:r>
              <w:rPr>
                <w:rFonts w:hint="eastAsia" w:ascii="宋体" w:hAnsi="宋体" w:eastAsia="宋体" w:cs="宋体"/>
                <w:b w:val="0"/>
                <w:bCs/>
                <w:color w:val="auto"/>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b w:val="0"/>
                <w:bCs/>
                <w:color w:val="auto"/>
                <w:kern w:val="0"/>
                <w:sz w:val="24"/>
                <w:szCs w:val="24"/>
                <w:lang w:val="en-US" w:eastAsia="zh-CN" w:bidi="ar"/>
              </w:rPr>
            </w:pPr>
            <w:r>
              <w:rPr>
                <w:rFonts w:hint="default" w:ascii="Times New Roman" w:hAnsi="Times New Roman" w:eastAsia="宋体" w:cs="Times New Roman"/>
                <w:b w:val="0"/>
                <w:bCs/>
                <w:color w:val="auto"/>
                <w:kern w:val="0"/>
                <w:sz w:val="24"/>
                <w:szCs w:val="24"/>
                <w:lang w:val="en-US" w:eastAsia="zh-CN" w:bidi="ar"/>
              </w:rPr>
              <w:t xml:space="preserve">4) </w:t>
            </w:r>
            <w:r>
              <w:rPr>
                <w:rFonts w:hint="eastAsia" w:ascii="宋体" w:hAnsi="宋体" w:eastAsia="宋体" w:cs="宋体"/>
                <w:b w:val="0"/>
                <w:bCs/>
                <w:color w:val="auto"/>
                <w:kern w:val="0"/>
                <w:sz w:val="24"/>
                <w:szCs w:val="24"/>
                <w:lang w:val="en-US" w:eastAsia="zh-CN" w:bidi="ar"/>
              </w:rPr>
              <w:t>员工培训合格覆盖率</w:t>
            </w:r>
            <w:r>
              <w:rPr>
                <w:rFonts w:ascii="Arial" w:hAnsi="Arial" w:eastAsia="宋体" w:cs="Arial"/>
                <w:b w:val="0"/>
                <w:bCs/>
                <w:color w:val="auto"/>
                <w:kern w:val="0"/>
                <w:sz w:val="24"/>
                <w:szCs w:val="24"/>
                <w:lang w:val="en-US" w:eastAsia="zh-CN" w:bidi="ar"/>
              </w:rPr>
              <w:t>≥</w:t>
            </w:r>
            <w:r>
              <w:rPr>
                <w:rFonts w:hint="default" w:ascii="Times New Roman" w:hAnsi="Times New Roman" w:eastAsia="宋体" w:cs="Times New Roman"/>
                <w:b w:val="0"/>
                <w:bCs/>
                <w:color w:val="auto"/>
                <w:kern w:val="0"/>
                <w:sz w:val="24"/>
                <w:szCs w:val="24"/>
                <w:lang w:val="en-US" w:eastAsia="zh-CN" w:bidi="ar"/>
              </w:rPr>
              <w:t xml:space="preserve">92% </w:t>
            </w:r>
          </w:p>
          <w:p>
            <w:pPr>
              <w:keepNext w:val="0"/>
              <w:keepLines w:val="0"/>
              <w:widowControl/>
              <w:suppressLineNumbers w:val="0"/>
              <w:jc w:val="left"/>
              <w:rPr>
                <w:rFonts w:hint="eastAsia" w:ascii="宋体" w:hAnsi="宋体"/>
                <w:b w:val="0"/>
                <w:bCs/>
                <w:color w:val="auto"/>
              </w:rPr>
            </w:pPr>
            <w:r>
              <w:rPr>
                <w:rFonts w:hint="eastAsia" w:ascii="宋体" w:hAnsi="宋体"/>
                <w:b w:val="0"/>
                <w:bCs/>
                <w:color w:val="auto"/>
              </w:rPr>
              <w:t>环境目标</w:t>
            </w:r>
          </w:p>
          <w:p>
            <w:pPr>
              <w:keepNext w:val="0"/>
              <w:keepLines w:val="0"/>
              <w:widowControl/>
              <w:suppressLineNumbers w:val="0"/>
              <w:jc w:val="left"/>
              <w:rPr>
                <w:b w:val="0"/>
                <w:bCs/>
                <w:color w:val="auto"/>
              </w:rPr>
            </w:pPr>
            <w:r>
              <w:rPr>
                <w:rFonts w:hint="default" w:ascii="Times New Roman" w:hAnsi="Times New Roman" w:eastAsia="宋体" w:cs="Times New Roman"/>
                <w:b w:val="0"/>
                <w:bCs/>
                <w:color w:val="auto"/>
                <w:kern w:val="0"/>
                <w:sz w:val="24"/>
                <w:szCs w:val="24"/>
                <w:lang w:val="en-US" w:eastAsia="zh-CN" w:bidi="ar"/>
              </w:rPr>
              <w:t xml:space="preserve">1) </w:t>
            </w:r>
            <w:r>
              <w:rPr>
                <w:rFonts w:hint="eastAsia" w:ascii="宋体" w:hAnsi="宋体" w:eastAsia="宋体" w:cs="宋体"/>
                <w:b w:val="0"/>
                <w:bCs/>
                <w:color w:val="auto"/>
                <w:kern w:val="0"/>
                <w:sz w:val="24"/>
                <w:szCs w:val="24"/>
                <w:lang w:val="en-US" w:eastAsia="zh-CN" w:bidi="ar"/>
              </w:rPr>
              <w:t xml:space="preserve">固废分类存放有效处置率达 </w:t>
            </w:r>
            <w:r>
              <w:rPr>
                <w:rFonts w:hint="default" w:ascii="Times New Roman" w:hAnsi="Times New Roman" w:eastAsia="宋体" w:cs="Times New Roman"/>
                <w:b w:val="0"/>
                <w:bCs/>
                <w:color w:val="auto"/>
                <w:kern w:val="0"/>
                <w:sz w:val="24"/>
                <w:szCs w:val="24"/>
                <w:lang w:val="en-US" w:eastAsia="zh-CN" w:bidi="ar"/>
              </w:rPr>
              <w:t>100%</w:t>
            </w:r>
            <w:r>
              <w:rPr>
                <w:rFonts w:hint="eastAsia" w:ascii="宋体" w:hAnsi="宋体" w:eastAsia="宋体" w:cs="宋体"/>
                <w:b w:val="0"/>
                <w:bCs/>
                <w:color w:val="auto"/>
                <w:kern w:val="0"/>
                <w:sz w:val="24"/>
                <w:szCs w:val="24"/>
                <w:lang w:val="en-US" w:eastAsia="zh-CN" w:bidi="ar"/>
              </w:rPr>
              <w:t xml:space="preserve">； </w:t>
            </w:r>
          </w:p>
          <w:p>
            <w:pPr>
              <w:keepNext w:val="0"/>
              <w:keepLines w:val="0"/>
              <w:widowControl/>
              <w:suppressLineNumbers w:val="0"/>
              <w:jc w:val="left"/>
              <w:rPr>
                <w:b w:val="0"/>
                <w:bCs/>
                <w:color w:val="auto"/>
              </w:rPr>
            </w:pPr>
            <w:r>
              <w:rPr>
                <w:rFonts w:hint="default" w:ascii="Times New Roman" w:hAnsi="Times New Roman" w:eastAsia="宋体" w:cs="Times New Roman"/>
                <w:b w:val="0"/>
                <w:bCs/>
                <w:color w:val="auto"/>
                <w:kern w:val="0"/>
                <w:sz w:val="24"/>
                <w:szCs w:val="24"/>
                <w:lang w:val="en-US" w:eastAsia="zh-CN" w:bidi="ar"/>
              </w:rPr>
              <w:t xml:space="preserve">2) </w:t>
            </w:r>
            <w:r>
              <w:rPr>
                <w:rFonts w:hint="eastAsia" w:ascii="宋体" w:hAnsi="宋体" w:eastAsia="宋体" w:cs="宋体"/>
                <w:b w:val="0"/>
                <w:bCs/>
                <w:color w:val="auto"/>
                <w:kern w:val="0"/>
                <w:sz w:val="24"/>
                <w:szCs w:val="24"/>
                <w:lang w:val="en-US" w:eastAsia="zh-CN" w:bidi="ar"/>
              </w:rPr>
              <w:t>无火灾事故。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 w:val="0"/>
                <w:bCs/>
                <w:color w:val="auto"/>
                <w:szCs w:val="22"/>
              </w:rPr>
            </w:pPr>
            <w:r>
              <w:rPr>
                <w:rFonts w:hint="eastAsia" w:ascii="宋体" w:hAnsi="宋体"/>
                <w:b w:val="0"/>
                <w:bCs/>
                <w:color w:val="auto"/>
              </w:rPr>
              <w:t>提供“目标分解与考核表”、“目标、指标、管理方案”等。目标已分解到各部门，有目标实现的措施和资源、考核方式、考核周期等要求</w:t>
            </w:r>
            <w:r>
              <w:rPr>
                <w:rFonts w:hint="eastAsia" w:ascii="宋体" w:hAnsi="宋体"/>
                <w:b w:val="0"/>
                <w:bCs/>
                <w:color w:val="auto"/>
                <w:szCs w:val="22"/>
              </w:rPr>
              <w:t>。目标考核结果达到目标值要求。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240" w:lineRule="exact"/>
              <w:rPr>
                <w:rFonts w:ascii="宋体" w:hAnsi="宋体"/>
                <w:b/>
                <w:color w:val="auto"/>
                <w:sz w:val="20"/>
                <w:szCs w:val="20"/>
              </w:rPr>
            </w:pPr>
            <w:r>
              <w:rPr>
                <w:rFonts w:hint="eastAsia"/>
                <w:b/>
                <w:color w:val="auto"/>
                <w:sz w:val="20"/>
                <w:szCs w:val="20"/>
              </w:rPr>
              <w:t>10. 文件与记录控制 (</w:t>
            </w:r>
            <w:r>
              <w:rPr>
                <w:rFonts w:hint="eastAsia" w:ascii="宋体" w:hAnsi="宋体"/>
                <w:b/>
                <w:color w:val="auto"/>
                <w:sz w:val="20"/>
                <w:szCs w:val="20"/>
              </w:rPr>
              <w:t>文审修订后文件与标准的符合程度评价、</w:t>
            </w:r>
            <w:r>
              <w:rPr>
                <w:rFonts w:hint="eastAsia" w:ascii="宋体" w:hAnsi="宋体"/>
                <w:b/>
                <w:color w:val="auto"/>
                <w:spacing w:val="-4"/>
                <w:sz w:val="20"/>
                <w:szCs w:val="20"/>
              </w:rPr>
              <w:t>文件</w:t>
            </w:r>
            <w:r>
              <w:rPr>
                <w:rFonts w:hint="eastAsia" w:ascii="宋体" w:hAnsi="宋体"/>
                <w:b/>
                <w:color w:val="auto"/>
                <w:sz w:val="20"/>
                <w:szCs w:val="20"/>
              </w:rPr>
              <w:t>控制管理等)</w:t>
            </w:r>
          </w:p>
          <w:p>
            <w:pPr>
              <w:tabs>
                <w:tab w:val="left" w:pos="540"/>
              </w:tabs>
              <w:spacing w:line="240" w:lineRule="exact"/>
              <w:rPr>
                <w:rFonts w:ascii="宋体" w:hAnsi="宋体"/>
                <w:b/>
                <w:color w:val="FF0000"/>
                <w:sz w:val="20"/>
                <w:szCs w:val="20"/>
              </w:rPr>
            </w:pPr>
            <w:r>
              <w:rPr>
                <w:rFonts w:ascii="宋体" w:hAnsi="宋体"/>
                <w:color w:val="auto"/>
              </w:rPr>
              <w:t>体系文件</w:t>
            </w:r>
            <w:r>
              <w:rPr>
                <w:rFonts w:hint="eastAsia" w:ascii="宋体" w:hAnsi="宋体"/>
                <w:color w:val="auto"/>
                <w:lang w:val="en-US" w:eastAsia="zh-CN"/>
              </w:rPr>
              <w:t>2020年12月1日发布</w:t>
            </w:r>
            <w:r>
              <w:rPr>
                <w:rFonts w:ascii="宋体" w:hAnsi="宋体"/>
                <w:color w:val="auto"/>
              </w:rPr>
              <w:t>符合标准要求</w:t>
            </w:r>
            <w:r>
              <w:rPr>
                <w:rFonts w:hint="eastAsia" w:ascii="宋体" w:hAnsi="宋体"/>
                <w:color w:val="auto"/>
              </w:rPr>
              <w:t>，</w:t>
            </w:r>
            <w:r>
              <w:rPr>
                <w:rFonts w:ascii="宋体" w:hAnsi="宋体"/>
                <w:color w:val="auto"/>
              </w:rPr>
              <w:t>文件和记录管理控制符合标准要求</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restart"/>
            <w:textDirection w:val="tbRlV"/>
            <w:vAlign w:val="center"/>
          </w:tcPr>
          <w:p>
            <w:pPr>
              <w:spacing w:line="240" w:lineRule="exact"/>
              <w:ind w:left="113" w:right="113"/>
              <w:jc w:val="center"/>
              <w:rPr>
                <w:b/>
                <w:color w:val="FF0000"/>
                <w:szCs w:val="21"/>
              </w:rPr>
            </w:pPr>
            <w:r>
              <w:rPr>
                <w:b/>
                <w:color w:val="auto"/>
                <w:szCs w:val="21"/>
              </w:rPr>
              <w:br w:type="page"/>
            </w:r>
            <w:r>
              <w:rPr>
                <w:rFonts w:hint="eastAsia" w:ascii="宋体" w:hAnsi="宋体"/>
                <w:b/>
                <w:color w:val="auto"/>
                <w:szCs w:val="21"/>
              </w:rPr>
              <w:t>(二)资源评价</w:t>
            </w:r>
          </w:p>
        </w:tc>
        <w:tc>
          <w:tcPr>
            <w:tcW w:w="9198"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spacing w:line="300" w:lineRule="exact"/>
              <w:rPr>
                <w:rFonts w:ascii="宋体" w:hAnsi="宋体"/>
                <w:b/>
                <w:color w:val="FF0000"/>
                <w:sz w:val="20"/>
                <w:szCs w:val="20"/>
              </w:rPr>
            </w:pPr>
            <w:r>
              <w:rPr>
                <w:rFonts w:hint="eastAsia" w:ascii="宋体" w:hAnsi="宋体"/>
                <w:color w:val="auto"/>
              </w:rPr>
              <w:t>编制了人力资源管理程序，</w:t>
            </w:r>
            <w:r>
              <w:rPr>
                <w:rFonts w:hint="eastAsia" w:ascii="宋体" w:hAnsi="宋体"/>
                <w:color w:val="auto"/>
                <w:lang w:val="en-US" w:eastAsia="zh-CN"/>
              </w:rPr>
              <w:t>公司需要员工28人，</w:t>
            </w:r>
            <w:r>
              <w:rPr>
                <w:rFonts w:hint="eastAsia" w:ascii="宋体" w:hAnsi="宋体"/>
                <w:color w:val="auto"/>
              </w:rPr>
              <w:t>制定培训计划，定期组织相关培训，能满足</w:t>
            </w:r>
            <w:r>
              <w:rPr>
                <w:rFonts w:hint="eastAsia" w:ascii="宋体" w:hAnsi="宋体"/>
                <w:color w:val="auto"/>
                <w:lang w:val="en-US" w:eastAsia="zh-CN"/>
              </w:rPr>
              <w:t>各级</w:t>
            </w:r>
            <w:r>
              <w:rPr>
                <w:rFonts w:hint="default" w:ascii="宋体" w:hAnsi="宋体"/>
                <w:color w:val="auto"/>
              </w:rPr>
              <w:t>人员</w:t>
            </w:r>
            <w:r>
              <w:rPr>
                <w:rFonts w:hint="eastAsia" w:ascii="宋体" w:hAnsi="宋体"/>
                <w:color w:val="auto"/>
              </w:rPr>
              <w:t>上岗</w:t>
            </w:r>
            <w:r>
              <w:rPr>
                <w:rFonts w:hint="default" w:ascii="宋体" w:hAnsi="宋体"/>
                <w:color w:val="auto"/>
              </w:rPr>
              <w:t>能力</w:t>
            </w:r>
            <w:r>
              <w:rPr>
                <w:rFonts w:hint="eastAsia" w:ascii="宋体" w:hAnsi="宋体"/>
                <w:color w:val="auto"/>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240" w:lineRule="exact"/>
              <w:rPr>
                <w:rFonts w:ascii="宋体" w:hAnsi="宋体"/>
                <w:b/>
                <w:color w:val="FF0000"/>
                <w:sz w:val="20"/>
                <w:szCs w:val="20"/>
              </w:rPr>
            </w:pPr>
            <w:r>
              <w:rPr>
                <w:rFonts w:hint="eastAsia" w:ascii="宋体" w:hAnsi="宋体"/>
                <w:color w:val="auto"/>
                <w:szCs w:val="21"/>
              </w:rPr>
              <w:t>主要设备有：</w:t>
            </w:r>
            <w:r>
              <w:rPr>
                <w:rFonts w:hint="eastAsia" w:ascii="宋体" w:hAnsi="宋体"/>
                <w:color w:val="auto"/>
                <w:spacing w:val="-10"/>
                <w:sz w:val="20"/>
                <w:szCs w:val="20"/>
              </w:rPr>
              <w:t>主要设备：喷码机</w:t>
            </w:r>
            <w:r>
              <w:rPr>
                <w:rFonts w:hint="eastAsia" w:ascii="宋体" w:hAnsi="宋体"/>
                <w:color w:val="auto"/>
                <w:spacing w:val="-10"/>
                <w:sz w:val="20"/>
                <w:szCs w:val="20"/>
                <w:lang w:eastAsia="zh-CN"/>
              </w:rPr>
              <w:t>、</w:t>
            </w:r>
            <w:r>
              <w:rPr>
                <w:rFonts w:hint="eastAsia" w:ascii="宋体" w:hAnsi="宋体"/>
                <w:color w:val="auto"/>
                <w:spacing w:val="-10"/>
                <w:sz w:val="20"/>
                <w:szCs w:val="20"/>
              </w:rPr>
              <w:t>端子机</w:t>
            </w:r>
            <w:r>
              <w:rPr>
                <w:rFonts w:hint="eastAsia" w:ascii="宋体" w:hAnsi="宋体"/>
                <w:color w:val="auto"/>
                <w:spacing w:val="-10"/>
                <w:sz w:val="20"/>
                <w:szCs w:val="20"/>
                <w:lang w:eastAsia="zh-CN"/>
              </w:rPr>
              <w:t>、</w:t>
            </w:r>
            <w:r>
              <w:rPr>
                <w:rFonts w:hint="eastAsia" w:ascii="宋体" w:hAnsi="宋体"/>
                <w:color w:val="auto"/>
                <w:spacing w:val="-10"/>
                <w:sz w:val="20"/>
                <w:szCs w:val="20"/>
              </w:rPr>
              <w:t>裁线机</w:t>
            </w:r>
            <w:r>
              <w:rPr>
                <w:rFonts w:hint="eastAsia" w:ascii="宋体" w:hAnsi="宋体"/>
                <w:color w:val="auto"/>
                <w:spacing w:val="-10"/>
                <w:sz w:val="20"/>
                <w:szCs w:val="20"/>
                <w:lang w:eastAsia="zh-CN"/>
              </w:rPr>
              <w:t>、</w:t>
            </w:r>
            <w:r>
              <w:rPr>
                <w:rFonts w:hint="eastAsia" w:ascii="宋体" w:hAnsi="宋体"/>
                <w:color w:val="auto"/>
                <w:spacing w:val="-10"/>
                <w:sz w:val="20"/>
                <w:szCs w:val="20"/>
              </w:rPr>
              <w:t>空压机/冷干机</w:t>
            </w:r>
            <w:r>
              <w:rPr>
                <w:rFonts w:hint="eastAsia" w:ascii="宋体" w:hAnsi="宋体"/>
                <w:color w:val="auto"/>
                <w:spacing w:val="-10"/>
                <w:sz w:val="20"/>
                <w:szCs w:val="20"/>
                <w:lang w:eastAsia="zh-CN"/>
              </w:rPr>
              <w:t>、</w:t>
            </w:r>
            <w:r>
              <w:rPr>
                <w:rFonts w:hint="eastAsia" w:ascii="宋体" w:hAnsi="宋体"/>
                <w:color w:val="auto"/>
                <w:spacing w:val="-10"/>
                <w:sz w:val="20"/>
                <w:szCs w:val="20"/>
              </w:rPr>
              <w:t>打包机</w:t>
            </w:r>
            <w:r>
              <w:rPr>
                <w:rFonts w:hint="eastAsia" w:ascii="宋体" w:hAnsi="宋体"/>
                <w:color w:val="auto"/>
                <w:spacing w:val="-10"/>
                <w:sz w:val="20"/>
                <w:szCs w:val="20"/>
                <w:lang w:eastAsia="zh-CN"/>
              </w:rPr>
              <w:t>、</w:t>
            </w:r>
            <w:r>
              <w:rPr>
                <w:rFonts w:hint="eastAsia" w:ascii="宋体" w:hAnsi="宋体"/>
                <w:color w:val="auto"/>
                <w:spacing w:val="-10"/>
                <w:sz w:val="20"/>
                <w:szCs w:val="20"/>
              </w:rPr>
              <w:t>全自动电脑横切机</w:t>
            </w:r>
            <w:r>
              <w:rPr>
                <w:rFonts w:hint="eastAsia" w:ascii="宋体" w:hAnsi="宋体"/>
                <w:color w:val="auto"/>
                <w:spacing w:val="-10"/>
                <w:sz w:val="20"/>
                <w:szCs w:val="20"/>
                <w:lang w:eastAsia="zh-CN"/>
              </w:rPr>
              <w:t>、</w:t>
            </w:r>
            <w:r>
              <w:rPr>
                <w:rFonts w:hint="eastAsia" w:ascii="宋体" w:hAnsi="宋体"/>
                <w:color w:val="auto"/>
                <w:spacing w:val="-10"/>
                <w:sz w:val="20"/>
                <w:szCs w:val="20"/>
              </w:rPr>
              <w:t>电脑裁切机</w:t>
            </w:r>
            <w:r>
              <w:rPr>
                <w:rFonts w:hint="eastAsia" w:ascii="宋体" w:hAnsi="宋体"/>
                <w:color w:val="auto"/>
                <w:spacing w:val="-10"/>
                <w:sz w:val="20"/>
                <w:szCs w:val="20"/>
                <w:lang w:val="en-US" w:eastAsia="zh-CN"/>
              </w:rPr>
              <w:t>等</w:t>
            </w:r>
            <w:r>
              <w:rPr>
                <w:rFonts w:hint="eastAsia" w:ascii="宋体" w:hAnsi="宋体"/>
                <w:color w:val="auto"/>
                <w:szCs w:val="21"/>
              </w:rPr>
              <w:t>等设施设备</w:t>
            </w:r>
            <w:r>
              <w:rPr>
                <w:rFonts w:hint="eastAsia" w:ascii="宋体" w:hAnsi="宋体"/>
                <w:color w:val="auto"/>
                <w:szCs w:val="21"/>
                <w:lang w:eastAsia="zh-CN"/>
              </w:rPr>
              <w:t>、</w:t>
            </w:r>
            <w:r>
              <w:rPr>
                <w:rFonts w:hint="eastAsia" w:ascii="宋体" w:hAnsi="宋体"/>
                <w:color w:val="auto"/>
                <w:szCs w:val="21"/>
                <w:lang w:val="en-US" w:eastAsia="zh-CN"/>
              </w:rPr>
              <w:t>网络、电脑、打印机。投影仪</w:t>
            </w:r>
            <w:r>
              <w:rPr>
                <w:rFonts w:hint="eastAsia" w:ascii="宋体" w:hAnsi="宋体"/>
                <w:color w:val="auto"/>
                <w:szCs w:val="21"/>
              </w:rPr>
              <w:t>办公场所满足要求；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320" w:lineRule="exact"/>
              <w:rPr>
                <w:rFonts w:ascii="宋体" w:hAnsi="宋体"/>
                <w:b/>
                <w:color w:val="FF0000"/>
                <w:sz w:val="20"/>
                <w:szCs w:val="20"/>
              </w:rPr>
            </w:pPr>
            <w:r>
              <w:rPr>
                <w:rFonts w:hint="eastAsia"/>
                <w:color w:val="auto"/>
              </w:rPr>
              <w:t>产品对环境没有特殊要求，办公场所布局科学，</w:t>
            </w:r>
            <w:r>
              <w:rPr>
                <w:rFonts w:hint="eastAsia"/>
                <w:color w:val="auto"/>
                <w:lang w:val="en-US" w:eastAsia="zh-CN"/>
              </w:rPr>
              <w:t>厂房面积 及</w:t>
            </w:r>
            <w:r>
              <w:rPr>
                <w:rFonts w:hint="eastAsia"/>
                <w:color w:val="auto"/>
              </w:rPr>
              <w:t>办公面积</w:t>
            </w:r>
            <w:r>
              <w:rPr>
                <w:rFonts w:hint="eastAsia"/>
                <w:color w:val="auto"/>
                <w:lang w:val="en-US" w:eastAsia="zh-CN"/>
              </w:rPr>
              <w:t>共</w:t>
            </w:r>
            <w:r>
              <w:rPr>
                <w:rFonts w:hint="eastAsia"/>
                <w:color w:val="auto"/>
              </w:rPr>
              <w:t>60</w:t>
            </w:r>
            <w:r>
              <w:rPr>
                <w:rFonts w:hint="eastAsia"/>
                <w:color w:val="auto"/>
                <w:lang w:val="en-US" w:eastAsia="zh-CN"/>
              </w:rPr>
              <w:t>00</w:t>
            </w:r>
            <w:r>
              <w:rPr>
                <w:rFonts w:hint="eastAsia"/>
                <w:color w:val="auto"/>
              </w:rPr>
              <w:t>平方米，空间较宽敞、光线较明亮，</w:t>
            </w:r>
            <w:r>
              <w:rPr>
                <w:rFonts w:ascii="宋体" w:hAnsi="宋体"/>
                <w:b/>
                <w:color w:val="auto"/>
                <w:sz w:val="20"/>
                <w:szCs w:val="20"/>
              </w:rPr>
              <w:t>锂离子电池的组装及销售</w:t>
            </w:r>
            <w:r>
              <w:rPr>
                <w:rFonts w:hint="eastAsia"/>
                <w:color w:val="auto"/>
              </w:rPr>
              <w:t>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keepNext w:val="0"/>
              <w:keepLines w:val="0"/>
              <w:pageBreakBefore w:val="0"/>
              <w:widowControl w:val="0"/>
              <w:kinsoku/>
              <w:wordWrap/>
              <w:overflowPunct/>
              <w:topLinePunct w:val="0"/>
              <w:autoSpaceDE/>
              <w:autoSpaceDN/>
              <w:bidi w:val="0"/>
              <w:adjustRightInd/>
              <w:snapToGrid/>
              <w:spacing w:before="120" w:line="280" w:lineRule="exact"/>
              <w:ind w:firstLine="400" w:firstLineChars="200"/>
              <w:textAlignment w:val="auto"/>
              <w:rPr>
                <w:rFonts w:hint="default" w:ascii="方正仿宋简体" w:eastAsia="方正仿宋简体"/>
                <w:b/>
                <w:lang w:val="en-US" w:eastAsia="zh-CN"/>
              </w:rPr>
            </w:pPr>
            <w:r>
              <w:rPr>
                <w:rFonts w:hint="eastAsia" w:ascii="宋体"/>
                <w:color w:val="auto"/>
                <w:sz w:val="20"/>
                <w:szCs w:val="20"/>
              </w:rPr>
              <w:t>智能动力电池性能检</w:t>
            </w:r>
            <w:r>
              <w:rPr>
                <w:rFonts w:hint="eastAsia" w:ascii="宋体"/>
                <w:color w:val="000000"/>
                <w:sz w:val="20"/>
                <w:szCs w:val="20"/>
              </w:rPr>
              <w:t>测系统</w:t>
            </w:r>
            <w:r>
              <w:rPr>
                <w:rFonts w:hint="eastAsia" w:ascii="宋体"/>
                <w:color w:val="000000"/>
                <w:sz w:val="20"/>
                <w:szCs w:val="20"/>
                <w:lang w:eastAsia="zh-CN"/>
              </w:rPr>
              <w:t>、</w:t>
            </w:r>
            <w:r>
              <w:rPr>
                <w:rFonts w:hint="eastAsia" w:ascii="宋体"/>
                <w:color w:val="000000"/>
                <w:sz w:val="20"/>
                <w:szCs w:val="20"/>
              </w:rPr>
              <w:t>电池测试仪</w:t>
            </w:r>
            <w:r>
              <w:rPr>
                <w:rFonts w:hint="eastAsia" w:ascii="宋体"/>
                <w:color w:val="000000"/>
                <w:sz w:val="20"/>
                <w:szCs w:val="20"/>
                <w:lang w:eastAsia="zh-CN"/>
              </w:rPr>
              <w:t>、</w:t>
            </w:r>
            <w:r>
              <w:rPr>
                <w:rFonts w:hint="eastAsia" w:ascii="宋体"/>
                <w:color w:val="000000"/>
                <w:sz w:val="20"/>
                <w:szCs w:val="20"/>
              </w:rPr>
              <w:t>直尺</w:t>
            </w:r>
            <w:r>
              <w:rPr>
                <w:rFonts w:hint="eastAsia" w:ascii="宋体"/>
                <w:color w:val="000000"/>
                <w:sz w:val="20"/>
                <w:szCs w:val="20"/>
                <w:lang w:eastAsia="zh-CN"/>
              </w:rPr>
              <w:t>、</w:t>
            </w:r>
            <w:r>
              <w:rPr>
                <w:rFonts w:hint="eastAsia" w:ascii="宋体"/>
                <w:color w:val="000000"/>
                <w:sz w:val="20"/>
                <w:szCs w:val="20"/>
              </w:rPr>
              <w:t xml:space="preserve">游标卡尺 </w:t>
            </w:r>
            <w:r>
              <w:rPr>
                <w:rFonts w:hint="eastAsia" w:ascii="宋体"/>
                <w:color w:val="000000"/>
                <w:sz w:val="20"/>
                <w:szCs w:val="20"/>
                <w:lang w:eastAsia="zh-CN"/>
              </w:rPr>
              <w:t>、</w:t>
            </w:r>
            <w:r>
              <w:rPr>
                <w:rFonts w:hint="eastAsia" w:ascii="宋体"/>
                <w:color w:val="000000"/>
                <w:sz w:val="20"/>
                <w:szCs w:val="20"/>
              </w:rPr>
              <w:t>压力表</w:t>
            </w:r>
            <w:r>
              <w:rPr>
                <w:rFonts w:hint="eastAsia" w:ascii="宋体"/>
                <w:color w:val="000000"/>
                <w:sz w:val="20"/>
                <w:szCs w:val="20"/>
                <w:lang w:eastAsia="zh-CN"/>
              </w:rPr>
              <w:t>、</w:t>
            </w:r>
            <w:r>
              <w:rPr>
                <w:rFonts w:hint="eastAsia" w:ascii="宋体"/>
                <w:color w:val="000000"/>
                <w:sz w:val="20"/>
                <w:szCs w:val="20"/>
              </w:rPr>
              <w:t>弹簧式安全阀</w:t>
            </w:r>
            <w:r>
              <w:rPr>
                <w:rFonts w:hint="eastAsia" w:ascii="宋体"/>
                <w:color w:val="000000"/>
                <w:sz w:val="20"/>
                <w:szCs w:val="20"/>
                <w:lang w:val="en-US" w:eastAsia="zh-CN"/>
              </w:rPr>
              <w:t>等。提供检定证书。</w:t>
            </w:r>
            <w:r>
              <w:rPr>
                <w:rFonts w:hint="eastAsia" w:ascii="宋体"/>
                <w:color w:val="000000"/>
                <w:sz w:val="20"/>
                <w:szCs w:val="20"/>
              </w:rPr>
              <w:t xml:space="preserve"> </w:t>
            </w:r>
            <w:r>
              <w:rPr>
                <w:rFonts w:hint="eastAsia" w:ascii="方正仿宋简体" w:eastAsia="方正仿宋简体"/>
                <w:b/>
                <w:lang w:val="en-US" w:eastAsia="zh-CN"/>
              </w:rPr>
              <w:t>在审核现场发现，监视和测量设备万用表、数显扭矩扳手未提供检定的相关证实。开具不符合1项。</w:t>
            </w:r>
            <w:bookmarkStart w:id="22" w:name="_GoBack"/>
            <w:bookmarkEnd w:id="22"/>
          </w:p>
          <w:p>
            <w:pPr>
              <w:rPr>
                <w:rFonts w:ascii="宋体" w:hAnsi="宋体"/>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知识</w:t>
            </w:r>
          </w:p>
          <w:p>
            <w:pPr>
              <w:spacing w:line="240" w:lineRule="exact"/>
              <w:rPr>
                <w:rFonts w:ascii="宋体" w:hAnsi="宋体"/>
                <w:b/>
                <w:color w:val="FF0000"/>
                <w:sz w:val="20"/>
                <w:szCs w:val="20"/>
              </w:rPr>
            </w:pPr>
            <w:r>
              <w:rPr>
                <w:rFonts w:hint="eastAsia"/>
                <w:color w:val="auto"/>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b/>
                <w:color w:val="FF0000"/>
                <w:sz w:val="20"/>
                <w:szCs w:val="20"/>
              </w:rPr>
            </w:pPr>
            <w:r>
              <w:rPr>
                <w:rFonts w:hint="eastAsia"/>
                <w:color w:val="auto"/>
                <w:lang w:val="en-US" w:eastAsia="zh-CN"/>
              </w:rPr>
              <w:t>吸烟装置、</w:t>
            </w:r>
            <w:r>
              <w:rPr>
                <w:rFonts w:hint="eastAsia"/>
                <w:color w:val="auto"/>
              </w:rPr>
              <w:t>分类垃圾桶、口罩、</w:t>
            </w:r>
            <w:r>
              <w:rPr>
                <w:rFonts w:hint="eastAsia"/>
                <w:color w:val="auto"/>
                <w:lang w:val="en-US" w:eastAsia="zh-CN"/>
              </w:rPr>
              <w:t xml:space="preserve">干粉灭火器   </w:t>
            </w:r>
            <w:r>
              <w:rPr>
                <w:rFonts w:hint="eastAsia"/>
                <w:color w:val="auto"/>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职业健康安全设施：</w:t>
            </w:r>
          </w:p>
          <w:p>
            <w:pPr>
              <w:spacing w:line="240" w:lineRule="exact"/>
              <w:rPr>
                <w:rFonts w:asciiTheme="minorEastAsia" w:hAnsiTheme="minorEastAsia" w:eastAsiaTheme="minorEastAsia"/>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20" w:type="dxa"/>
            <w:vMerge w:val="restart"/>
            <w:textDirection w:val="tbRlV"/>
            <w:vAlign w:val="center"/>
          </w:tcPr>
          <w:p>
            <w:pPr>
              <w:spacing w:line="240" w:lineRule="exact"/>
              <w:ind w:left="113" w:right="113"/>
              <w:jc w:val="center"/>
              <w:rPr>
                <w:b/>
                <w:color w:val="FF0000"/>
                <w:sz w:val="20"/>
                <w:szCs w:val="20"/>
              </w:rPr>
            </w:pPr>
            <w:r>
              <w:rPr>
                <w:rFonts w:hint="eastAsia"/>
                <w:b/>
                <w:color w:val="auto"/>
                <w:sz w:val="20"/>
                <w:szCs w:val="20"/>
              </w:rPr>
              <w:t>(三)体系运行情况</w:t>
            </w:r>
          </w:p>
        </w:tc>
        <w:tc>
          <w:tcPr>
            <w:tcW w:w="9198" w:type="dxa"/>
          </w:tcPr>
          <w:p>
            <w:pPr>
              <w:spacing w:line="30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FF0000"/>
                <w:sz w:val="20"/>
                <w:szCs w:val="20"/>
              </w:rPr>
              <w:t>1</w:t>
            </w:r>
            <w:r>
              <w:rPr>
                <w:rFonts w:hint="eastAsia" w:asciiTheme="minorEastAsia" w:hAnsiTheme="minorEastAsia" w:eastAsiaTheme="minorEastAsia"/>
                <w:b/>
                <w:color w:val="auto"/>
                <w:sz w:val="20"/>
                <w:szCs w:val="20"/>
              </w:rPr>
              <w:t>. 针对方针的管理职责评审</w:t>
            </w:r>
          </w:p>
          <w:p>
            <w:pPr>
              <w:spacing w:line="300" w:lineRule="exact"/>
              <w:ind w:left="1"/>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（包括针对组织宗旨，制定相关管理方针政策、确保方针为员工理解并在运营中实施，监视方针的实施并评审方针的适宜性）</w:t>
            </w:r>
          </w:p>
          <w:p>
            <w:pPr>
              <w:spacing w:line="300" w:lineRule="exact"/>
              <w:ind w:left="1"/>
              <w:rPr>
                <w:rFonts w:asciiTheme="minorEastAsia" w:hAnsiTheme="minorEastAsia" w:eastAsiaTheme="minorEastAsia"/>
                <w:b/>
                <w:color w:val="FF0000"/>
                <w:sz w:val="20"/>
                <w:szCs w:val="20"/>
              </w:rPr>
            </w:pPr>
            <w:r>
              <w:rPr>
                <w:rFonts w:hint="eastAsia" w:asciiTheme="minorEastAsia" w:hAnsiTheme="minorEastAsia" w:eastAsiaTheme="minorEastAsia"/>
                <w:color w:val="auto"/>
                <w:szCs w:val="22"/>
              </w:rPr>
              <w:t>根据组织宗旨制定了管理体系方针，进行了有效沟通，在管理评审时进行评审，</w:t>
            </w:r>
            <w:r>
              <w:rPr>
                <w:rFonts w:asciiTheme="minorEastAsia" w:hAnsiTheme="minorEastAsia" w:eastAsiaTheme="minorEastAsia"/>
                <w:color w:val="auto"/>
                <w:szCs w:val="22"/>
              </w:rPr>
              <w:t>符合要求</w:t>
            </w:r>
            <w:r>
              <w:rPr>
                <w:rFonts w:hint="eastAsia" w:asciiTheme="minorEastAsia" w:hAnsiTheme="minorEastAsia" w:eastAsiaTheme="minorEastAsia"/>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ind w:left="159" w:hanging="159" w:hangingChars="79"/>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2. 组织内部沟通的充分性与效果；（OHSMS员工参与风险管理/健康安全事务的关心和影响力；组织对外联络关注顾客的感受情况、</w:t>
            </w:r>
            <w:r>
              <w:rPr>
                <w:rFonts w:asciiTheme="minorEastAsia" w:hAnsiTheme="minorEastAsia" w:eastAsiaTheme="minorEastAsia"/>
                <w:b/>
                <w:color w:val="auto"/>
                <w:sz w:val="20"/>
                <w:szCs w:val="20"/>
              </w:rPr>
              <w:t>信息交流</w:t>
            </w:r>
            <w:r>
              <w:rPr>
                <w:rFonts w:hint="eastAsia" w:asciiTheme="minorEastAsia" w:hAnsiTheme="minorEastAsia" w:eastAsiaTheme="minorEastAsia"/>
                <w:b/>
                <w:color w:val="auto"/>
                <w:sz w:val="20"/>
                <w:szCs w:val="20"/>
              </w:rPr>
              <w:t>包括通报相关方的情况等）</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内部沟通的情况：内部沟通方式：</w:t>
            </w:r>
            <w:r>
              <w:rPr>
                <w:rFonts w:hint="eastAsia" w:asciiTheme="minorEastAsia" w:hAnsiTheme="minorEastAsia" w:eastAsiaTheme="minorEastAsia"/>
                <w:color w:val="auto"/>
                <w:szCs w:val="22"/>
              </w:rPr>
              <w:t>培训、会议、宣传栏；</w:t>
            </w: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 xml:space="preserve">                内部沟通的效果：</w:t>
            </w:r>
            <w:r>
              <w:rPr>
                <w:rFonts w:hint="eastAsia" w:asciiTheme="minorEastAsia" w:hAnsiTheme="minorEastAsia" w:eastAsiaTheme="minorEastAsia"/>
                <w:color w:val="auto"/>
                <w:szCs w:val="22"/>
              </w:rPr>
              <w:t>沟通畅通；</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组织对外联络，关注顾客的感受情况（QMS）：</w:t>
            </w:r>
            <w:r>
              <w:rPr>
                <w:rFonts w:hint="eastAsia" w:asciiTheme="minorEastAsia" w:hAnsiTheme="minorEastAsia" w:eastAsiaTheme="minorEastAsia"/>
                <w:color w:val="auto"/>
                <w:szCs w:val="22"/>
                <w:u w:val="single"/>
              </w:rPr>
              <w:t>。</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外部信息的接收、成文并答复的情况（E、S填写）：</w:t>
            </w:r>
            <w:r>
              <w:rPr>
                <w:rFonts w:hint="eastAsia" w:asciiTheme="minorEastAsia" w:hAnsiTheme="minorEastAsia" w:eastAsiaTheme="minorEastAsia"/>
                <w:color w:val="auto"/>
                <w:szCs w:val="22"/>
              </w:rPr>
              <w:t>参加相关部门组织的会议，接收相关部门下达的通知并在公司内部沟通传达。</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重要环境因素信息对外交流情况（EMS填写）：</w:t>
            </w:r>
            <w:r>
              <w:rPr>
                <w:rFonts w:hint="eastAsia" w:asciiTheme="minorEastAsia" w:hAnsiTheme="minorEastAsia" w:eastAsiaTheme="minorEastAsia"/>
                <w:color w:val="auto"/>
                <w:szCs w:val="22"/>
              </w:rPr>
              <w:t>对相关方进行环保告知。</w:t>
            </w:r>
          </w:p>
          <w:p>
            <w:pPr>
              <w:spacing w:line="240" w:lineRule="exact"/>
              <w:rPr>
                <w:rFonts w:asciiTheme="minorEastAsia" w:hAnsiTheme="minorEastAsia" w:eastAsiaTheme="minorEastAsia"/>
                <w:color w:val="auto"/>
                <w:szCs w:val="22"/>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OHSMS事务代表协商和交流的情况（OHSMS填写）：</w:t>
            </w:r>
          </w:p>
          <w:p>
            <w:pPr>
              <w:spacing w:line="240" w:lineRule="exact"/>
              <w:rPr>
                <w:rFonts w:asciiTheme="minorEastAsia" w:hAnsiTheme="minorEastAsia" w:eastAsiaTheme="minorEastAsia"/>
                <w:b/>
                <w:color w:val="FF0000"/>
                <w:sz w:val="20"/>
                <w:szCs w:val="20"/>
              </w:rPr>
            </w:pPr>
          </w:p>
          <w:p>
            <w:pPr>
              <w:spacing w:line="240" w:lineRule="exact"/>
              <w:rPr>
                <w:rFonts w:asciiTheme="minorEastAsia" w:hAnsiTheme="minorEastAsia" w:eastAsiaTheme="minorEastAsia"/>
                <w:b/>
                <w:color w:val="FF0000"/>
                <w:szCs w:val="21"/>
              </w:rPr>
            </w:pPr>
            <w:r>
              <w:rPr>
                <w:rFonts w:hint="eastAsia" w:asciiTheme="minorEastAsia" w:hAnsiTheme="minorEastAsia" w:eastAsiaTheme="minorEastAsia"/>
                <w:b/>
                <w:color w:val="auto"/>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(包括对QMS关键工序(过程)、需验证过程控制;评价组织对过程实施控制情况/)</w:t>
            </w:r>
          </w:p>
          <w:p>
            <w:pPr>
              <w:spacing w:line="240" w:lineRule="exact"/>
              <w:ind w:firstLine="420" w:firstLineChars="200"/>
              <w:rPr>
                <w:rFonts w:ascii="宋体" w:hAnsi="宋体" w:cs="宋体"/>
                <w:color w:val="auto"/>
                <w:szCs w:val="21"/>
              </w:rPr>
            </w:pPr>
            <w:r>
              <w:rPr>
                <w:rFonts w:hint="eastAsia" w:ascii="宋体" w:hAnsi="宋体" w:cs="宋体"/>
                <w:color w:val="auto"/>
                <w:szCs w:val="21"/>
              </w:rPr>
              <w:t>需验证过程：</w:t>
            </w:r>
            <w:r>
              <w:rPr>
                <w:rFonts w:hint="eastAsia" w:ascii="宋体" w:hAnsi="宋体" w:cs="宋体"/>
                <w:color w:val="auto"/>
                <w:szCs w:val="21"/>
                <w:lang w:val="en-US" w:eastAsia="zh-CN"/>
              </w:rPr>
              <w:t>点焊过程、</w:t>
            </w:r>
            <w:r>
              <w:rPr>
                <w:rFonts w:hint="eastAsia" w:ascii="宋体" w:hAnsi="宋体" w:cs="宋体"/>
                <w:color w:val="auto"/>
                <w:szCs w:val="21"/>
              </w:rPr>
              <w:t>销售和服务过程，对人员/设备/工作环境/作业指导书/销售产品等方面进行确认。形成过程确认记录。</w:t>
            </w:r>
          </w:p>
          <w:p>
            <w:pPr>
              <w:spacing w:line="240" w:lineRule="exact"/>
              <w:ind w:firstLine="420" w:firstLineChars="200"/>
              <w:rPr>
                <w:rFonts w:ascii="宋体" w:hAnsi="宋体" w:cs="宋体"/>
                <w:color w:val="FF0000"/>
                <w:szCs w:val="21"/>
              </w:rPr>
            </w:pPr>
            <w:r>
              <w:rPr>
                <w:rFonts w:hint="eastAsia" w:ascii="宋体" w:hAnsi="宋体" w:cs="宋体"/>
                <w:color w:val="auto"/>
                <w:szCs w:val="21"/>
              </w:rPr>
              <w:t>关键过程为：</w:t>
            </w:r>
            <w:r>
              <w:rPr>
                <w:rFonts w:hint="eastAsia" w:ascii="宋体" w:hAnsi="宋体" w:cs="宋体"/>
                <w:color w:val="auto"/>
                <w:szCs w:val="21"/>
                <w:lang w:val="en-US" w:eastAsia="zh-CN"/>
              </w:rPr>
              <w:t>点焊</w:t>
            </w:r>
            <w:r>
              <w:rPr>
                <w:rFonts w:hint="eastAsia" w:ascii="宋体" w:hAnsi="宋体" w:cs="宋体"/>
                <w:color w:val="auto"/>
                <w:szCs w:val="21"/>
              </w:rPr>
              <w:t>过程，制定相关的作业指导书。产品验收准则/（大纲）对</w:t>
            </w:r>
            <w:r>
              <w:rPr>
                <w:rFonts w:hint="eastAsia" w:ascii="宋体" w:hAnsi="宋体" w:cs="宋体"/>
                <w:color w:val="auto"/>
                <w:szCs w:val="21"/>
                <w:lang w:val="en-US" w:eastAsia="zh-CN"/>
              </w:rPr>
              <w:t>点焊等</w:t>
            </w:r>
            <w:r>
              <w:rPr>
                <w:rFonts w:hint="eastAsia" w:ascii="宋体" w:hAnsi="宋体" w:cs="宋体"/>
                <w:color w:val="auto"/>
                <w:szCs w:val="21"/>
              </w:rPr>
              <w:t>关键过程有效控制。公司对关键过程和特殊过程控制基本有效。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auto"/>
                <w:szCs w:val="21"/>
              </w:rPr>
            </w:pPr>
            <w:r>
              <w:rPr>
                <w:rFonts w:hint="eastAsia" w:ascii="宋体" w:hAnsi="宋体" w:cs="宋体"/>
                <w:color w:val="auto"/>
                <w:szCs w:val="21"/>
              </w:rPr>
              <w:t>制定并实施了认证范围内产品的验收标准/试验大纲，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(应说明相关证据)：提供产品检验记录，符合合同及相关验收规范的要求。</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300" w:lineRule="exact"/>
              <w:rPr>
                <w:rFonts w:asciiTheme="minorEastAsia" w:hAnsiTheme="minorEastAsia" w:eastAsiaTheme="minorEastAsia"/>
                <w:color w:val="auto"/>
                <w:szCs w:val="22"/>
                <w:u w:val="single"/>
              </w:rPr>
            </w:pPr>
            <w:r>
              <w:rPr>
                <w:rFonts w:hint="eastAsia" w:asciiTheme="minorEastAsia" w:hAnsiTheme="minorEastAsia" w:eastAsiaTheme="minorEastAsia"/>
                <w:color w:val="auto"/>
                <w:szCs w:val="22"/>
                <w:u w:val="single"/>
              </w:rPr>
              <w:t>无。</w:t>
            </w:r>
          </w:p>
          <w:p>
            <w:pPr>
              <w:spacing w:line="300" w:lineRule="exact"/>
              <w:ind w:firstLine="197" w:firstLineChars="98"/>
              <w:rPr>
                <w:b/>
                <w:color w:val="auto"/>
                <w:sz w:val="20"/>
                <w:szCs w:val="20"/>
              </w:rPr>
            </w:pPr>
            <w:r>
              <w:rPr>
                <w:rFonts w:hint="eastAsia"/>
                <w:b/>
                <w:color w:val="auto"/>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pacing w:val="-8"/>
                <w:sz w:val="20"/>
                <w:szCs w:val="20"/>
              </w:rPr>
            </w:pPr>
            <w:r>
              <w:rPr>
                <w:rFonts w:hint="eastAsia"/>
                <w:b/>
                <w:color w:val="auto"/>
                <w:sz w:val="20"/>
                <w:szCs w:val="20"/>
              </w:rPr>
              <w:t xml:space="preserve">6. </w:t>
            </w:r>
            <w:r>
              <w:rPr>
                <w:rFonts w:hint="eastAsia"/>
                <w:b/>
                <w:color w:val="auto"/>
                <w:spacing w:val="-8"/>
                <w:sz w:val="20"/>
                <w:szCs w:val="20"/>
              </w:rPr>
              <w:t>不合格品/项的识别、控制;</w:t>
            </w:r>
          </w:p>
          <w:p>
            <w:pPr>
              <w:spacing w:line="240" w:lineRule="exact"/>
              <w:rPr>
                <w:color w:val="FF0000"/>
                <w:sz w:val="20"/>
                <w:szCs w:val="20"/>
              </w:rPr>
            </w:pPr>
            <w:r>
              <w:rPr>
                <w:rFonts w:hint="eastAsia" w:ascii="宋体" w:hAnsi="宋体" w:cs="宋体"/>
                <w:color w:val="auto"/>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napToGrid w:val="0"/>
              <w:spacing w:line="320" w:lineRule="exact"/>
              <w:ind w:firstLine="420" w:firstLineChars="200"/>
              <w:rPr>
                <w:rFonts w:hint="default"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总经办是环境的主管部门，提供有</w:t>
            </w:r>
            <w:r>
              <w:rPr>
                <w:rFonts w:hint="eastAsia" w:ascii="宋体" w:hAnsi="宋体"/>
                <w:color w:val="auto"/>
                <w:szCs w:val="21"/>
                <w:lang w:val="en-US" w:eastAsia="zh-CN"/>
              </w:rPr>
              <w:t>策划、编制了</w:t>
            </w:r>
            <w:r>
              <w:rPr>
                <w:rFonts w:hint="eastAsia" w:cs="楷体" w:asciiTheme="minorEastAsia" w:hAnsiTheme="minorEastAsia" w:eastAsiaTheme="minorEastAsia"/>
                <w:color w:val="auto"/>
                <w:szCs w:val="21"/>
              </w:rPr>
              <w:t>《XZ/CX-04-A/0 环境因素管理程序》</w:t>
            </w:r>
            <w:r>
              <w:rPr>
                <w:rFonts w:hint="eastAsia" w:ascii="宋体" w:hAnsi="宋体"/>
                <w:color w:val="auto"/>
                <w:szCs w:val="21"/>
                <w:lang w:val="en-US" w:eastAsia="zh-CN"/>
              </w:rPr>
              <w:t>《环境绩效监测和测量管理程序》《过程运行环境控制程序》《外部提供的产品和服务控制程序》《运行控制程序》《对相关方施加影响管理程序》《节能降耗管理程序》程序》《环境绩效监测和测量管理程序》。文件基本符合标准要求，也符合公司环境管理实际。</w:t>
            </w:r>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环境因素识别表</w:t>
            </w:r>
            <w:r>
              <w:rPr>
                <w:rFonts w:hint="eastAsia" w:cs="楷体" w:asciiTheme="minorEastAsia" w:hAnsiTheme="minorEastAsia" w:eastAsiaTheme="minorEastAsia"/>
                <w:color w:val="auto"/>
                <w:szCs w:val="21"/>
                <w:lang w:eastAsia="zh-CN"/>
              </w:rPr>
              <w:t xml:space="preserve">》《环境因素管理程序》 </w:t>
            </w:r>
            <w:r>
              <w:rPr>
                <w:rFonts w:hint="eastAsia" w:cs="楷体" w:asciiTheme="minorEastAsia" w:hAnsiTheme="minorEastAsia" w:eastAsiaTheme="minorEastAsia"/>
                <w:color w:val="auto"/>
                <w:szCs w:val="21"/>
              </w:rPr>
              <w:t>。</w:t>
            </w:r>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总经办</w:t>
            </w:r>
            <w:r>
              <w:rPr>
                <w:rFonts w:hint="eastAsia" w:cs="楷体" w:asciiTheme="minorEastAsia" w:hAnsiTheme="minorEastAsia" w:eastAsiaTheme="minorEastAsia"/>
                <w:color w:val="auto"/>
                <w:szCs w:val="21"/>
              </w:rPr>
              <w:t>按照办公区域及服务过程对环境因素进行了</w:t>
            </w:r>
            <w:r>
              <w:rPr>
                <w:rFonts w:hint="eastAsia" w:cs="楷体" w:asciiTheme="minorEastAsia" w:hAnsiTheme="minorEastAsia" w:eastAsiaTheme="minorEastAsia"/>
                <w:color w:val="auto"/>
                <w:szCs w:val="21"/>
                <w:lang w:val="en-US" w:eastAsia="zh-CN"/>
              </w:rPr>
              <w:t>识别</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识别</w:t>
            </w:r>
            <w:r>
              <w:rPr>
                <w:rFonts w:hint="eastAsia" w:cs="楷体" w:asciiTheme="minorEastAsia" w:hAnsiTheme="minorEastAsia" w:eastAsiaTheme="minorEastAsia"/>
                <w:color w:val="auto"/>
                <w:szCs w:val="21"/>
              </w:rPr>
              <w:t>时考虑了三种时态，过去、现在和将来，三种状态，正常、异常和紧急。</w:t>
            </w:r>
          </w:p>
          <w:p>
            <w:pPr>
              <w:spacing w:line="320" w:lineRule="exact"/>
              <w:ind w:firstLine="420" w:firstLineChars="200"/>
              <w:rPr>
                <w:rFonts w:hint="eastAsia"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查到《环境因素识别评价汇总表》，</w:t>
            </w:r>
            <w:r>
              <w:rPr>
                <w:rFonts w:hint="eastAsia" w:cs="楷体" w:asciiTheme="minorEastAsia" w:hAnsiTheme="minorEastAsia" w:eastAsiaTheme="minorEastAsia"/>
                <w:color w:val="auto"/>
                <w:szCs w:val="21"/>
                <w:lang w:val="en-US" w:eastAsia="zh-CN"/>
              </w:rPr>
              <w:t>公司</w:t>
            </w:r>
            <w:r>
              <w:rPr>
                <w:rFonts w:hint="eastAsia" w:cs="楷体" w:asciiTheme="minorEastAsia" w:hAnsiTheme="minorEastAsia" w:eastAsiaTheme="minorEastAsia"/>
                <w:color w:val="auto"/>
                <w:szCs w:val="21"/>
              </w:rPr>
              <w:t>识别了本部门在办公</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销售</w:t>
            </w:r>
            <w:r>
              <w:rPr>
                <w:rFonts w:hint="eastAsia" w:cs="楷体" w:asciiTheme="minorEastAsia" w:hAnsiTheme="minorEastAsia" w:eastAsiaTheme="minorEastAsia"/>
                <w:color w:val="auto"/>
                <w:szCs w:val="21"/>
              </w:rPr>
              <w:t>等各有关过程的环境因素，包括日光灯更换、废弃墨盒、色带</w:t>
            </w:r>
            <w:r>
              <w:rPr>
                <w:rFonts w:hint="eastAsia" w:cs="楷体" w:asciiTheme="minorEastAsia" w:hAnsiTheme="minorEastAsia" w:eastAsiaTheme="minorEastAsia"/>
                <w:color w:val="auto"/>
                <w:szCs w:val="21"/>
                <w:lang w:eastAsia="zh-CN"/>
              </w:rPr>
              <w:t>、用电引起火灾、废电池 灯管、</w:t>
            </w:r>
            <w:r>
              <w:rPr>
                <w:rFonts w:hint="eastAsia" w:cs="楷体" w:asciiTheme="minorEastAsia" w:hAnsiTheme="minorEastAsia" w:eastAsiaTheme="minorEastAsia"/>
                <w:color w:val="auto"/>
                <w:szCs w:val="21"/>
              </w:rPr>
              <w:t>电脑使用用电消耗、办公纸张消耗、电源消耗</w:t>
            </w:r>
            <w:r>
              <w:rPr>
                <w:rFonts w:hint="eastAsia" w:cs="楷体" w:asciiTheme="minorEastAsia" w:hAnsiTheme="minorEastAsia" w:eastAsiaTheme="minorEastAsia"/>
                <w:color w:val="auto"/>
                <w:szCs w:val="21"/>
                <w:lang w:eastAsia="zh-CN"/>
              </w:rPr>
              <w:t>、办公电器废弃、烟头未熄灭引起火灾、使用空调氟利昂潜在泄漏、</w:t>
            </w:r>
            <w:r>
              <w:rPr>
                <w:rFonts w:hint="eastAsia" w:cs="楷体" w:asciiTheme="minorEastAsia" w:hAnsiTheme="minorEastAsia" w:eastAsiaTheme="minorEastAsia"/>
                <w:color w:val="auto"/>
                <w:szCs w:val="21"/>
              </w:rPr>
              <w:t>不合格品排放等</w:t>
            </w:r>
            <w:r>
              <w:rPr>
                <w:rFonts w:hint="eastAsia" w:cs="楷体" w:asciiTheme="minorEastAsia" w:hAnsiTheme="minorEastAsia" w:eastAsiaTheme="minorEastAsia"/>
                <w:color w:val="auto"/>
                <w:szCs w:val="21"/>
                <w:lang w:val="en-US" w:eastAsia="zh-CN"/>
              </w:rPr>
              <w:t>20个</w:t>
            </w:r>
            <w:r>
              <w:rPr>
                <w:rFonts w:hint="eastAsia" w:cs="楷体" w:asciiTheme="minorEastAsia" w:hAnsiTheme="minorEastAsia" w:eastAsiaTheme="minorEastAsia"/>
                <w:color w:val="auto"/>
                <w:szCs w:val="21"/>
              </w:rPr>
              <w:t>环境因素。</w:t>
            </w:r>
          </w:p>
          <w:p>
            <w:pPr>
              <w:spacing w:line="320" w:lineRule="exact"/>
              <w:ind w:firstLine="420" w:firstLineChars="200"/>
              <w:rPr>
                <w:rFonts w:hint="default"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总经办要求各部门编制“环境因素识别表”、“环境因素评价表”，在此基础上编制“公司重要环境因素”、“重要环境因素控制表”。</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提供“公司重要环境因素清单及控制表XZ/JL04-13-A/0”</w:t>
            </w:r>
          </w:p>
          <w:p>
            <w:pPr>
              <w:spacing w:line="240" w:lineRule="exact"/>
              <w:ind w:firstLine="420" w:firstLineChars="200"/>
              <w:rPr>
                <w:b/>
                <w:color w:val="FF0000"/>
                <w:sz w:val="20"/>
                <w:szCs w:val="20"/>
              </w:rPr>
            </w:pPr>
            <w:r>
              <w:rPr>
                <w:rFonts w:hint="eastAsia" w:asciiTheme="minorEastAsia" w:hAnsiTheme="minorEastAsia" w:eastAsiaTheme="minorEastAsia"/>
                <w:color w:val="auto"/>
                <w:szCs w:val="22"/>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ind w:firstLine="402" w:firstLineChars="200"/>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340" w:lineRule="exact"/>
              <w:ind w:firstLine="402" w:firstLineChars="200"/>
              <w:rPr>
                <w:rFonts w:hint="eastAsia" w:ascii="Times New Roman" w:hAnsi="Times New Roman" w:eastAsia="宋体" w:cs="Times New Roman"/>
                <w:color w:val="auto"/>
                <w:szCs w:val="21"/>
                <w:lang w:val="en-US" w:eastAsia="zh-CN"/>
              </w:rPr>
            </w:pPr>
            <w:r>
              <w:rPr>
                <w:rFonts w:hint="eastAsia"/>
                <w:b/>
                <w:color w:val="auto"/>
                <w:sz w:val="20"/>
                <w:szCs w:val="20"/>
              </w:rPr>
              <w:t xml:space="preserve">9. </w:t>
            </w:r>
            <w:r>
              <w:rPr>
                <w:rFonts w:hint="eastAsia" w:ascii="Times New Roman" w:hAnsi="Times New Roman" w:eastAsia="宋体" w:cs="Times New Roman"/>
                <w:color w:val="auto"/>
                <w:szCs w:val="21"/>
                <w:lang w:val="en-US" w:eastAsia="zh-CN"/>
              </w:rPr>
              <w:t>提供</w:t>
            </w:r>
            <w:r>
              <w:rPr>
                <w:rFonts w:hint="eastAsia"/>
                <w:color w:val="auto"/>
                <w:szCs w:val="21"/>
                <w:lang w:val="en-US" w:eastAsia="zh-CN"/>
              </w:rPr>
              <w:t>《</w:t>
            </w:r>
            <w:r>
              <w:rPr>
                <w:rFonts w:hint="eastAsia" w:ascii="Times New Roman" w:hAnsi="Times New Roman" w:eastAsia="宋体" w:cs="Times New Roman"/>
                <w:color w:val="auto"/>
                <w:szCs w:val="21"/>
              </w:rPr>
              <w:t>环保应急预案</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编制</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eastAsia="zh-CN"/>
              </w:rPr>
              <w:t>曹凤</w:t>
            </w:r>
            <w:r>
              <w:rPr>
                <w:rFonts w:hint="eastAsia" w:ascii="Times New Roman" w:hAnsi="Times New Roman" w:eastAsia="宋体" w:cs="Times New Roman"/>
                <w:color w:val="auto"/>
                <w:szCs w:val="21"/>
                <w:lang w:val="en-US" w:eastAsia="zh-CN"/>
              </w:rPr>
              <w:t xml:space="preserve">  审核：侯广芳   批准：</w:t>
            </w:r>
            <w:r>
              <w:rPr>
                <w:rFonts w:hint="eastAsia" w:ascii="Times New Roman" w:hAnsi="Times New Roman" w:eastAsia="宋体" w:cs="Times New Roman"/>
                <w:color w:val="auto"/>
                <w:szCs w:val="21"/>
                <w:lang w:eastAsia="zh-CN"/>
              </w:rPr>
              <w:t>黄晋发。</w:t>
            </w:r>
            <w:r>
              <w:rPr>
                <w:rFonts w:hint="eastAsia" w:ascii="Times New Roman" w:hAnsi="Times New Roman" w:eastAsia="宋体" w:cs="Times New Roman"/>
                <w:color w:val="auto"/>
                <w:szCs w:val="21"/>
                <w:lang w:val="en-US" w:eastAsia="zh-CN"/>
              </w:rPr>
              <w:t xml:space="preserve">内容有   </w:t>
            </w:r>
            <w:r>
              <w:rPr>
                <w:rFonts w:hint="eastAsia" w:ascii="Times New Roman" w:hAnsi="Times New Roman" w:eastAsia="宋体" w:cs="Times New Roman"/>
                <w:color w:val="auto"/>
                <w:szCs w:val="21"/>
                <w:lang w:eastAsia="zh-CN"/>
              </w:rPr>
              <w:t>预案目的、</w:t>
            </w:r>
            <w:r>
              <w:rPr>
                <w:rFonts w:hint="eastAsia" w:ascii="方正北魏楷书简体" w:eastAsia="方正北魏楷书简体"/>
                <w:color w:val="auto"/>
              </w:rPr>
              <w:t>一、</w:t>
            </w:r>
            <w:r>
              <w:rPr>
                <w:rFonts w:hint="eastAsia" w:ascii="方正北魏楷书简体" w:hAnsi="宋体" w:eastAsia="方正北魏楷书简体" w:cs="宋体"/>
                <w:color w:val="auto"/>
                <w:kern w:val="0"/>
                <w:szCs w:val="28"/>
              </w:rPr>
              <w:t>应急预案适用范围</w:t>
            </w:r>
            <w:r>
              <w:rPr>
                <w:rFonts w:hint="eastAsia" w:ascii="方正北魏楷书简体" w:eastAsia="方正北魏楷书简体"/>
                <w:color w:val="auto"/>
                <w:lang w:val="en-US" w:eastAsia="zh-CN"/>
              </w:rPr>
              <w:t xml:space="preserve">    </w:t>
            </w:r>
            <w:r>
              <w:rPr>
                <w:rFonts w:hint="eastAsia" w:ascii="Times New Roman" w:hAnsi="Times New Roman" w:eastAsia="宋体" w:cs="Times New Roman"/>
                <w:color w:val="auto"/>
                <w:szCs w:val="21"/>
                <w:lang w:val="en-US" w:eastAsia="zh-CN"/>
              </w:rPr>
              <w:t>二、应急救援组织机构、组成人员的职责划分三、工作程序四、应急救援保障五、报警和通讯联络方式六、事故发生后的报告程序和注意事项七、预案分级响应条件八、事故应急预案终止程序</w:t>
            </w:r>
          </w:p>
          <w:p>
            <w:pPr>
              <w:numPr>
                <w:ilvl w:val="0"/>
                <w:numId w:val="3"/>
              </w:numPr>
              <w:spacing w:line="340" w:lineRule="exac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应急培训计划十一、演练计划十二、奖惩。基本符合体系要求。</w:t>
            </w:r>
          </w:p>
          <w:p>
            <w:pPr>
              <w:numPr>
                <w:ilvl w:val="0"/>
                <w:numId w:val="0"/>
              </w:numPr>
              <w:spacing w:line="340" w:lineRule="exact"/>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提供《应急计划》共分应急程序、应急消防员名单、应急设备清单。基本符合组织实际。</w:t>
            </w:r>
          </w:p>
          <w:p>
            <w:pPr>
              <w:spacing w:line="340" w:lineRule="exact"/>
              <w:ind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提供“应急计划演练记录”</w:t>
            </w:r>
            <w:r>
              <w:rPr>
                <w:rFonts w:hint="eastAsia" w:ascii="Arial Narrow" w:hAnsi="Arial Narrow" w:cs="宋体"/>
                <w:color w:val="auto"/>
                <w:kern w:val="0"/>
                <w:sz w:val="24"/>
              </w:rPr>
              <w:t xml:space="preserve"> </w:t>
            </w:r>
            <w:r>
              <w:rPr>
                <w:rFonts w:hint="eastAsia" w:ascii="Times New Roman" w:hAnsi="Times New Roman" w:eastAsia="宋体" w:cs="Times New Roman"/>
                <w:color w:val="auto"/>
                <w:szCs w:val="21"/>
                <w:lang w:val="en-US" w:eastAsia="zh-CN"/>
              </w:rPr>
              <w:t>编号：JL-050。时间： 2021年1月20日  参加人：黄晋发</w:t>
            </w:r>
            <w:r>
              <w:rPr>
                <w:rFonts w:hint="eastAsia" w:ascii="Times New Roman" w:hAnsi="Times New Roman" w:eastAsia="宋体" w:cs="Times New Roman"/>
                <w:color w:val="auto"/>
                <w:szCs w:val="21"/>
                <w:lang w:val="en-GB" w:eastAsia="zh-CN"/>
              </w:rPr>
              <w:t>、</w:t>
            </w:r>
            <w:r>
              <w:rPr>
                <w:rFonts w:hint="eastAsia" w:ascii="Times New Roman" w:hAnsi="Times New Roman" w:eastAsia="宋体" w:cs="Times New Roman"/>
                <w:color w:val="auto"/>
                <w:szCs w:val="21"/>
                <w:lang w:val="en-US" w:eastAsia="zh-CN"/>
              </w:rPr>
              <w:t>侯广芳</w:t>
            </w:r>
            <w:r>
              <w:rPr>
                <w:rFonts w:hint="eastAsia" w:ascii="Times New Roman" w:hAnsi="Times New Roman" w:eastAsia="宋体" w:cs="Times New Roman"/>
                <w:color w:val="auto"/>
                <w:szCs w:val="21"/>
                <w:lang w:val="en-GB" w:eastAsia="zh-CN"/>
              </w:rPr>
              <w:t>、</w:t>
            </w:r>
            <w:r>
              <w:rPr>
                <w:rFonts w:hint="eastAsia" w:ascii="Times New Roman" w:hAnsi="Times New Roman" w:eastAsia="宋体" w:cs="Times New Roman"/>
                <w:color w:val="auto"/>
                <w:szCs w:val="21"/>
                <w:lang w:val="en-US" w:eastAsia="zh-CN"/>
              </w:rPr>
              <w:t>王腾</w:t>
            </w:r>
            <w:r>
              <w:rPr>
                <w:rFonts w:hint="eastAsia" w:ascii="Times New Roman" w:hAnsi="Times New Roman" w:eastAsia="宋体" w:cs="Times New Roman"/>
                <w:color w:val="auto"/>
                <w:szCs w:val="21"/>
                <w:lang w:val="en-GB" w:eastAsia="zh-CN"/>
              </w:rPr>
              <w:t>、</w:t>
            </w:r>
            <w:r>
              <w:rPr>
                <w:rFonts w:hint="eastAsia" w:ascii="Times New Roman" w:hAnsi="Times New Roman" w:eastAsia="宋体" w:cs="Times New Roman"/>
                <w:color w:val="auto"/>
                <w:szCs w:val="21"/>
                <w:lang w:val="en-US" w:eastAsia="zh-CN"/>
              </w:rPr>
              <w:t>曹凤</w:t>
            </w:r>
            <w:r>
              <w:rPr>
                <w:rFonts w:hint="eastAsia" w:ascii="Times New Roman" w:hAnsi="Times New Roman" w:eastAsia="宋体" w:cs="Times New Roman"/>
                <w:color w:val="auto"/>
                <w:szCs w:val="21"/>
                <w:lang w:val="en-GB" w:eastAsia="zh-CN"/>
              </w:rPr>
              <w:t>、</w:t>
            </w:r>
            <w:r>
              <w:rPr>
                <w:rFonts w:hint="eastAsia" w:ascii="Times New Roman" w:hAnsi="Times New Roman" w:eastAsia="宋体" w:cs="Times New Roman"/>
                <w:color w:val="auto"/>
                <w:szCs w:val="21"/>
                <w:lang w:val="en-US" w:eastAsia="zh-CN"/>
              </w:rPr>
              <w:t>淘宝</w:t>
            </w:r>
            <w:r>
              <w:rPr>
                <w:rFonts w:hint="eastAsia" w:ascii="Times New Roman" w:hAnsi="Times New Roman" w:eastAsia="宋体" w:cs="Times New Roman"/>
                <w:color w:val="auto"/>
                <w:szCs w:val="21"/>
                <w:lang w:val="en-GB" w:eastAsia="zh-CN"/>
              </w:rPr>
              <w:t>、</w:t>
            </w:r>
            <w:r>
              <w:rPr>
                <w:rFonts w:hint="eastAsia" w:ascii="Times New Roman" w:hAnsi="Times New Roman" w:eastAsia="宋体" w:cs="Times New Roman"/>
                <w:color w:val="auto"/>
                <w:szCs w:val="21"/>
                <w:lang w:val="en-US" w:eastAsia="zh-CN"/>
              </w:rPr>
              <w:t>孙艳楠</w:t>
            </w:r>
            <w:r>
              <w:rPr>
                <w:rFonts w:hint="eastAsia" w:ascii="Times New Roman" w:hAnsi="Times New Roman" w:eastAsia="宋体" w:cs="Times New Roman"/>
                <w:color w:val="auto"/>
                <w:szCs w:val="21"/>
                <w:lang w:val="en-GB" w:eastAsia="zh-CN"/>
              </w:rPr>
              <w:t>等。</w:t>
            </w:r>
            <w:r>
              <w:rPr>
                <w:rFonts w:hint="eastAsia" w:ascii="Times New Roman" w:hAnsi="Times New Roman" w:eastAsia="宋体" w:cs="Times New Roman"/>
                <w:color w:val="auto"/>
                <w:szCs w:val="21"/>
                <w:lang w:val="en-US" w:eastAsia="zh-CN"/>
              </w:rPr>
              <w:t>实施记录：</w:t>
            </w:r>
          </w:p>
          <w:p>
            <w:pPr>
              <w:numPr>
                <w:ilvl w:val="0"/>
                <w:numId w:val="0"/>
              </w:numPr>
              <w:spacing w:line="340" w:lineRule="exact"/>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提供“应急计划演练评审记录”评审记录：1、这次演习人员组织较严密，人员分工明确，责任到人；</w:t>
            </w:r>
          </w:p>
          <w:p>
            <w:pPr>
              <w:rPr>
                <w:rFonts w:ascii="宋体" w:hAnsi="宋体" w:cs="宋体"/>
                <w:color w:val="auto"/>
                <w:szCs w:val="21"/>
              </w:rPr>
            </w:pPr>
            <w:r>
              <w:rPr>
                <w:rFonts w:hint="eastAsia" w:ascii="Times New Roman" w:hAnsi="Times New Roman" w:eastAsia="宋体" w:cs="Times New Roman"/>
                <w:color w:val="auto"/>
                <w:szCs w:val="21"/>
                <w:lang w:val="en-US" w:eastAsia="zh-CN"/>
              </w:rPr>
              <w:t xml:space="preserve">2、组织水平不是很好，但人员能及时到位时间；3、通过这次演习起到培训、教育的作用；4、不足之处：消防员操作水平不够专业，消防器材应用不够熟练。  </w:t>
            </w:r>
          </w:p>
          <w:p>
            <w:pPr>
              <w:rPr>
                <w:color w:val="FF0000"/>
              </w:rPr>
            </w:pPr>
            <w:r>
              <w:rPr>
                <w:rFonts w:hint="eastAsia"/>
                <w:color w:val="auto"/>
              </w:rPr>
              <w:t>火灾应急预案和应急准备及响应程序符合实际、内容充分、规定有效，经评审无需修定。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10. 对特种设备的维护; （适用时）</w:t>
            </w:r>
          </w:p>
          <w:p>
            <w:pPr>
              <w:tabs>
                <w:tab w:val="left" w:pos="6597"/>
              </w:tabs>
              <w:spacing w:line="240" w:lineRule="exact"/>
              <w:ind w:firstLine="420" w:firstLineChars="200"/>
              <w:rPr>
                <w:b/>
                <w:color w:val="FF0000"/>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20" w:type="dxa"/>
            <w:vMerge w:val="continue"/>
            <w:vAlign w:val="center"/>
          </w:tcPr>
          <w:p>
            <w:pPr>
              <w:spacing w:line="240" w:lineRule="exact"/>
              <w:jc w:val="center"/>
              <w:rPr>
                <w:b/>
                <w:color w:val="FF0000"/>
                <w:szCs w:val="21"/>
              </w:rPr>
            </w:pPr>
          </w:p>
        </w:tc>
        <w:tc>
          <w:tcPr>
            <w:tcW w:w="9198" w:type="dxa"/>
          </w:tcPr>
          <w:p>
            <w:pPr>
              <w:spacing w:line="240" w:lineRule="exact"/>
              <w:rPr>
                <w:b/>
                <w:color w:val="auto"/>
                <w:sz w:val="20"/>
                <w:szCs w:val="20"/>
              </w:rPr>
            </w:pPr>
            <w:r>
              <w:rPr>
                <w:rFonts w:hint="eastAsia"/>
                <w:b/>
                <w:color w:val="auto"/>
                <w:sz w:val="20"/>
                <w:szCs w:val="20"/>
              </w:rPr>
              <w:t>11 .对危险化学品销售、使用、储存、运输处置，规定的执行力度(必要时);（适用时）</w:t>
            </w:r>
          </w:p>
          <w:p>
            <w:pPr>
              <w:spacing w:line="240" w:lineRule="exact"/>
              <w:ind w:firstLine="420" w:firstLineChars="200"/>
              <w:rPr>
                <w:b/>
                <w:color w:val="FF0000"/>
                <w:sz w:val="20"/>
                <w:szCs w:val="20"/>
                <w:u w:val="single"/>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20" w:type="dxa"/>
            <w:vMerge w:val="restart"/>
            <w:textDirection w:val="tbRlV"/>
            <w:vAlign w:val="center"/>
          </w:tcPr>
          <w:p>
            <w:pPr>
              <w:spacing w:line="240" w:lineRule="exact"/>
              <w:ind w:left="113" w:right="113"/>
              <w:jc w:val="center"/>
              <w:rPr>
                <w:b/>
                <w:color w:val="FF0000"/>
                <w:szCs w:val="21"/>
              </w:rPr>
            </w:pPr>
            <w:r>
              <w:rPr>
                <w:rFonts w:hint="eastAsia"/>
                <w:b/>
                <w:color w:val="auto"/>
                <w:szCs w:val="21"/>
              </w:rPr>
              <w:t>(四)监视测量方面</w:t>
            </w:r>
          </w:p>
        </w:tc>
        <w:tc>
          <w:tcPr>
            <w:tcW w:w="9198" w:type="dxa"/>
          </w:tcPr>
          <w:p>
            <w:pPr>
              <w:spacing w:line="240" w:lineRule="exact"/>
              <w:ind w:left="100" w:hanging="100" w:hangingChars="50"/>
              <w:rPr>
                <w:b/>
                <w:color w:val="auto"/>
                <w:sz w:val="20"/>
                <w:szCs w:val="20"/>
              </w:rPr>
            </w:pPr>
            <w:r>
              <w:rPr>
                <w:rFonts w:hint="eastAsia"/>
                <w:b/>
                <w:color w:val="FF0000"/>
                <w:sz w:val="20"/>
                <w:szCs w:val="20"/>
              </w:rPr>
              <w:t xml:space="preserve">1. </w:t>
            </w:r>
            <w:r>
              <w:rPr>
                <w:rFonts w:hint="eastAsia"/>
                <w:b/>
                <w:color w:val="auto"/>
                <w:sz w:val="20"/>
                <w:szCs w:val="20"/>
              </w:rPr>
              <w:t>对质量/环境/职业健康安全目标指标进行定期监测/检查情况（适用时）</w:t>
            </w:r>
          </w:p>
          <w:p>
            <w:pPr>
              <w:spacing w:line="240" w:lineRule="exact"/>
              <w:ind w:firstLine="420" w:firstLineChars="200"/>
              <w:rPr>
                <w:b/>
                <w:color w:val="FF0000"/>
                <w:sz w:val="20"/>
                <w:szCs w:val="20"/>
              </w:rPr>
            </w:pPr>
            <w:r>
              <w:rPr>
                <w:rFonts w:hint="eastAsia" w:asciiTheme="minorEastAsia" w:hAnsiTheme="minorEastAsia" w:eastAsiaTheme="minorEastAsia"/>
                <w:color w:val="auto"/>
                <w:szCs w:val="22"/>
                <w:u w:val="single"/>
              </w:rPr>
              <w:t>202</w:t>
            </w:r>
            <w:r>
              <w:rPr>
                <w:rFonts w:hint="default" w:asciiTheme="minorEastAsia" w:hAnsiTheme="minorEastAsia" w:eastAsiaTheme="minorEastAsia"/>
                <w:color w:val="auto"/>
                <w:szCs w:val="22"/>
                <w:u w:val="single"/>
              </w:rPr>
              <w:t>1</w:t>
            </w:r>
            <w:r>
              <w:rPr>
                <w:rFonts w:hint="eastAsia" w:asciiTheme="minorEastAsia" w:hAnsiTheme="minorEastAsia" w:eastAsiaTheme="minorEastAsia"/>
                <w:color w:val="auto"/>
                <w:szCs w:val="22"/>
                <w:u w:val="single"/>
              </w:rPr>
              <w:t>年</w:t>
            </w:r>
            <w:r>
              <w:rPr>
                <w:rFonts w:hint="default" w:asciiTheme="minorEastAsia" w:hAnsiTheme="minorEastAsia" w:eastAsiaTheme="minorEastAsia"/>
                <w:color w:val="auto"/>
                <w:szCs w:val="22"/>
                <w:u w:val="single"/>
              </w:rPr>
              <w:t>6</w:t>
            </w:r>
            <w:r>
              <w:rPr>
                <w:rFonts w:hint="eastAsia" w:asciiTheme="minorEastAsia" w:hAnsiTheme="minorEastAsia" w:eastAsiaTheme="minorEastAsia"/>
                <w:color w:val="auto"/>
                <w:szCs w:val="22"/>
                <w:u w:val="single"/>
              </w:rPr>
              <w:t>月对</w:t>
            </w:r>
            <w:r>
              <w:rPr>
                <w:rFonts w:hint="default" w:asciiTheme="minorEastAsia" w:hAnsiTheme="minorEastAsia" w:eastAsiaTheme="minorEastAsia"/>
                <w:color w:val="auto"/>
                <w:szCs w:val="22"/>
                <w:u w:val="single"/>
              </w:rPr>
              <w:t>质量、</w:t>
            </w:r>
            <w:r>
              <w:rPr>
                <w:rFonts w:hint="eastAsia" w:asciiTheme="minorEastAsia" w:hAnsiTheme="minorEastAsia" w:eastAsiaTheme="minorEastAsia"/>
                <w:color w:val="auto"/>
                <w:szCs w:val="22"/>
                <w:u w:val="single"/>
              </w:rPr>
              <w:t>环境目标指标进行了</w:t>
            </w:r>
            <w:r>
              <w:rPr>
                <w:rFonts w:hint="eastAsia" w:asciiTheme="minorEastAsia" w:hAnsiTheme="minorEastAsia" w:eastAsiaTheme="minorEastAsia"/>
                <w:color w:val="auto"/>
                <w:szCs w:val="22"/>
                <w:u w:val="single"/>
                <w:lang w:val="en-US" w:eastAsia="zh-CN"/>
              </w:rPr>
              <w:t>监视和测量</w:t>
            </w:r>
            <w:r>
              <w:rPr>
                <w:rFonts w:hint="eastAsia" w:asciiTheme="minorEastAsia" w:hAnsiTheme="minorEastAsia" w:eastAsiaTheme="minorEastAsia"/>
                <w:color w:val="auto"/>
                <w:szCs w:val="22"/>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720" w:type="dxa"/>
            <w:vMerge w:val="continue"/>
            <w:textDirection w:val="tbRlV"/>
            <w:vAlign w:val="center"/>
          </w:tcPr>
          <w:p>
            <w:pPr>
              <w:spacing w:line="240" w:lineRule="exact"/>
              <w:ind w:left="113" w:right="113"/>
              <w:jc w:val="center"/>
              <w:rPr>
                <w:b/>
                <w:color w:val="FF0000"/>
                <w:szCs w:val="21"/>
              </w:rPr>
            </w:pPr>
          </w:p>
        </w:tc>
        <w:tc>
          <w:tcPr>
            <w:tcW w:w="9198" w:type="dxa"/>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5" w:hanging="105" w:hangingChars="50"/>
              <w:rPr>
                <w:b/>
                <w:color w:val="FF0000"/>
                <w:sz w:val="20"/>
                <w:szCs w:val="20"/>
              </w:rPr>
            </w:pPr>
            <w:r>
              <w:rPr>
                <w:rFonts w:hint="eastAsia" w:asciiTheme="minorEastAsia" w:hAnsiTheme="minorEastAsia" w:eastAsiaTheme="minorEastAsia"/>
                <w:color w:val="auto"/>
                <w:szCs w:val="22"/>
                <w:u w:val="none"/>
              </w:rPr>
              <w:t>企业主要通过开展顾客满意度调查来收集并了解顾客满意的信息，查见顾客满意程度调查表。调查表从产品质量、价格、交付时间、售后服务等方面对顾客满意度进行了调查。调查结果</w:t>
            </w:r>
            <w:r>
              <w:rPr>
                <w:rFonts w:hint="eastAsia" w:asciiTheme="minorEastAsia" w:hAnsiTheme="minorEastAsia" w:eastAsiaTheme="minorEastAsia"/>
                <w:color w:val="auto"/>
                <w:szCs w:val="22"/>
                <w:u w:val="none"/>
                <w:lang w:val="en-US" w:eastAsia="zh-CN"/>
              </w:rPr>
              <w:t>96％</w:t>
            </w:r>
            <w:r>
              <w:rPr>
                <w:rFonts w:hint="eastAsia" w:asciiTheme="minorEastAsia" w:hAnsiTheme="minorEastAsia" w:eastAsiaTheme="minorEastAsia"/>
                <w:color w:val="auto"/>
                <w:szCs w:val="22"/>
                <w:u w:val="none"/>
              </w:rPr>
              <w:t>满足</w:t>
            </w:r>
            <w:r>
              <w:rPr>
                <w:rFonts w:hint="eastAsia" w:asciiTheme="minorEastAsia" w:hAnsiTheme="minorEastAsia" w:eastAsiaTheme="minorEastAsia"/>
                <w:color w:val="auto"/>
                <w:szCs w:val="22"/>
                <w:u w:val="none"/>
                <w:lang w:val="en-US" w:eastAsia="zh-CN"/>
              </w:rPr>
              <w:t>设定的</w:t>
            </w:r>
            <w:r>
              <w:rPr>
                <w:rFonts w:hint="eastAsia" w:asciiTheme="minorEastAsia" w:hAnsiTheme="minorEastAsia" w:eastAsiaTheme="minorEastAsia"/>
                <w:color w:val="auto"/>
                <w:szCs w:val="22"/>
                <w:u w:val="none"/>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FF0000"/>
                <w:sz w:val="20"/>
              </w:rPr>
            </w:pPr>
          </w:p>
        </w:tc>
        <w:tc>
          <w:tcPr>
            <w:tcW w:w="9198"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z w:val="20"/>
                <w:szCs w:val="20"/>
                <w:u w:val="none"/>
              </w:rPr>
            </w:pPr>
            <w:r>
              <w:rPr>
                <w:rFonts w:hint="eastAsia"/>
                <w:b/>
                <w:color w:val="auto"/>
                <w:sz w:val="20"/>
                <w:szCs w:val="20"/>
              </w:rPr>
              <w:t>了解内</w:t>
            </w:r>
            <w:r>
              <w:rPr>
                <w:rFonts w:hint="eastAsia"/>
                <w:b/>
                <w:color w:val="auto"/>
                <w:sz w:val="20"/>
                <w:szCs w:val="20"/>
                <w:u w:val="none"/>
              </w:rPr>
              <w:t>审的策划;</w:t>
            </w:r>
          </w:p>
          <w:p>
            <w:pPr>
              <w:spacing w:line="240" w:lineRule="exact"/>
              <w:rPr>
                <w:b/>
                <w:color w:val="auto"/>
                <w:sz w:val="20"/>
                <w:szCs w:val="20"/>
                <w:u w:val="none"/>
              </w:rPr>
            </w:pPr>
            <w:r>
              <w:rPr>
                <w:rFonts w:hint="eastAsia" w:asciiTheme="minorEastAsia" w:hAnsiTheme="minorEastAsia" w:eastAsiaTheme="minorEastAsia"/>
                <w:color w:val="auto"/>
                <w:szCs w:val="22"/>
                <w:u w:val="none"/>
                <w:lang w:val="en-US" w:eastAsia="zh-CN"/>
              </w:rPr>
              <w:t>初审</w:t>
            </w:r>
            <w:r>
              <w:rPr>
                <w:rFonts w:hint="eastAsia" w:asciiTheme="minorEastAsia" w:hAnsiTheme="minorEastAsia" w:eastAsiaTheme="minorEastAsia"/>
                <w:color w:val="auto"/>
                <w:szCs w:val="22"/>
                <w:u w:val="none"/>
              </w:rPr>
              <w:t>，本次20</w:t>
            </w:r>
            <w:r>
              <w:rPr>
                <w:rFonts w:hint="eastAsia" w:asciiTheme="minorEastAsia" w:hAnsiTheme="minorEastAsia" w:eastAsiaTheme="minorEastAsia"/>
                <w:color w:val="auto"/>
                <w:szCs w:val="22"/>
                <w:u w:val="none"/>
                <w:lang w:val="en-US" w:eastAsia="zh-CN"/>
              </w:rPr>
              <w:t>21</w:t>
            </w:r>
            <w:r>
              <w:rPr>
                <w:rFonts w:hint="eastAsia" w:asciiTheme="minorEastAsia" w:hAnsiTheme="minorEastAsia" w:eastAsiaTheme="minorEastAsia"/>
                <w:color w:val="auto"/>
                <w:szCs w:val="22"/>
                <w:u w:val="none"/>
              </w:rPr>
              <w:t>.</w:t>
            </w:r>
            <w:r>
              <w:rPr>
                <w:rFonts w:hint="eastAsia" w:asciiTheme="minorEastAsia" w:hAnsiTheme="minorEastAsia" w:eastAsiaTheme="minorEastAsia"/>
                <w:color w:val="auto"/>
                <w:szCs w:val="22"/>
                <w:u w:val="none"/>
                <w:lang w:val="en-US" w:eastAsia="zh-CN"/>
              </w:rPr>
              <w:t>3</w:t>
            </w:r>
            <w:r>
              <w:rPr>
                <w:rFonts w:hint="eastAsia" w:asciiTheme="minorEastAsia" w:hAnsiTheme="minorEastAsia" w:eastAsiaTheme="minorEastAsia"/>
                <w:color w:val="auto"/>
                <w:szCs w:val="22"/>
                <w:u w:val="none"/>
              </w:rPr>
              <w:t>.</w:t>
            </w:r>
            <w:r>
              <w:rPr>
                <w:rFonts w:hint="eastAsia" w:asciiTheme="minorEastAsia" w:hAnsiTheme="minorEastAsia" w:eastAsiaTheme="minorEastAsia"/>
                <w:color w:val="auto"/>
                <w:szCs w:val="22"/>
                <w:u w:val="none"/>
                <w:lang w:val="en-US" w:eastAsia="zh-CN"/>
              </w:rPr>
              <w:t>2</w:t>
            </w:r>
            <w:r>
              <w:rPr>
                <w:rFonts w:hint="eastAsia" w:asciiTheme="minorEastAsia" w:hAnsiTheme="minorEastAsia" w:eastAsiaTheme="minorEastAsia"/>
                <w:color w:val="auto"/>
                <w:szCs w:val="22"/>
                <w:u w:val="none"/>
              </w:rPr>
              <w:t>0日内审。</w:t>
            </w:r>
          </w:p>
          <w:p>
            <w:pPr>
              <w:spacing w:line="240" w:lineRule="exact"/>
              <w:rPr>
                <w:b/>
                <w:color w:val="auto"/>
                <w:sz w:val="20"/>
                <w:szCs w:val="20"/>
                <w:u w:val="none"/>
              </w:rPr>
            </w:pPr>
            <w:r>
              <w:rPr>
                <w:rFonts w:hint="eastAsia"/>
                <w:b/>
                <w:color w:val="auto"/>
                <w:sz w:val="20"/>
                <w:szCs w:val="20"/>
                <w:u w:val="none"/>
              </w:rPr>
              <w:t xml:space="preserve">了解内审是否覆盖了管理体系范围内的活动及标准的要求; </w:t>
            </w:r>
          </w:p>
          <w:p>
            <w:pPr>
              <w:spacing w:line="240" w:lineRule="exact"/>
              <w:ind w:firstLine="210" w:firstLineChars="100"/>
              <w:rPr>
                <w:rFonts w:asciiTheme="minorEastAsia" w:hAnsiTheme="minorEastAsia" w:eastAsiaTheme="minorEastAsia"/>
                <w:color w:val="auto"/>
                <w:szCs w:val="22"/>
                <w:u w:val="none"/>
              </w:rPr>
            </w:pPr>
            <w:r>
              <w:rPr>
                <w:rFonts w:hint="eastAsia" w:asciiTheme="minorEastAsia" w:hAnsiTheme="minorEastAsia" w:eastAsiaTheme="minorEastAsia"/>
                <w:color w:val="auto"/>
                <w:szCs w:val="22"/>
                <w:u w:val="none"/>
              </w:rPr>
              <w:t>覆盖。</w:t>
            </w:r>
          </w:p>
          <w:p>
            <w:pPr>
              <w:spacing w:line="240" w:lineRule="exact"/>
              <w:rPr>
                <w:b/>
                <w:color w:val="auto"/>
                <w:sz w:val="20"/>
                <w:szCs w:val="20"/>
                <w:u w:val="none"/>
              </w:rPr>
            </w:pPr>
            <w:r>
              <w:rPr>
                <w:rFonts w:hint="eastAsia"/>
                <w:b/>
                <w:color w:val="auto"/>
                <w:sz w:val="20"/>
                <w:szCs w:val="20"/>
                <w:u w:val="none"/>
              </w:rPr>
              <w:t>了解内审结论是什么？</w:t>
            </w:r>
          </w:p>
          <w:p>
            <w:pPr>
              <w:spacing w:line="240" w:lineRule="exact"/>
              <w:ind w:firstLine="210" w:firstLineChars="100"/>
              <w:rPr>
                <w:rFonts w:hint="eastAsia" w:eastAsiaTheme="minorEastAsia"/>
                <w:b/>
                <w:color w:val="FF0000"/>
                <w:sz w:val="20"/>
                <w:szCs w:val="20"/>
                <w:lang w:eastAsia="zh-CN"/>
              </w:rPr>
            </w:pPr>
            <w:r>
              <w:rPr>
                <w:rFonts w:hint="eastAsia" w:asciiTheme="minorEastAsia" w:hAnsiTheme="minorEastAsia" w:eastAsiaTheme="minorEastAsia"/>
                <w:color w:val="auto"/>
                <w:szCs w:val="22"/>
                <w:u w:val="none"/>
              </w:rPr>
              <w:t>本公司质量/环境管理体系符合公司管理手册、程序性文件、ISO9001:2015、ISO14001:2015的要求，本公司质量/环境管理体系得到了有效实施，运行实施保持了适宜性</w:t>
            </w:r>
            <w:r>
              <w:rPr>
                <w:rFonts w:hint="eastAsia" w:asciiTheme="minorEastAsia" w:hAnsiTheme="minorEastAsia" w:eastAsiaTheme="minorEastAsia"/>
                <w:color w:val="auto"/>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FF0000"/>
                <w:sz w:val="20"/>
              </w:rPr>
            </w:pPr>
          </w:p>
        </w:tc>
        <w:tc>
          <w:tcPr>
            <w:tcW w:w="9198"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r>
              <w:rPr>
                <w:rFonts w:hint="eastAsia"/>
                <w:b/>
                <w:color w:val="auto"/>
                <w:sz w:val="20"/>
                <w:szCs w:val="20"/>
              </w:rPr>
              <w:t xml:space="preserve">了解管理评审的策划; </w:t>
            </w:r>
          </w:p>
          <w:p>
            <w:pPr>
              <w:spacing w:line="240" w:lineRule="exact"/>
              <w:ind w:firstLine="210" w:firstLineChars="100"/>
              <w:rPr>
                <w:rFonts w:hint="default" w:eastAsiaTheme="minorEastAsia"/>
                <w:b/>
                <w:color w:val="auto"/>
                <w:sz w:val="20"/>
                <w:szCs w:val="20"/>
                <w:u w:val="none"/>
                <w:lang w:val="en-US" w:eastAsia="zh-CN"/>
              </w:rPr>
            </w:pPr>
            <w:r>
              <w:rPr>
                <w:rFonts w:hint="eastAsia" w:asciiTheme="minorEastAsia" w:hAnsiTheme="minorEastAsia" w:eastAsiaTheme="minorEastAsia"/>
                <w:color w:val="auto"/>
                <w:szCs w:val="22"/>
                <w:u w:val="none"/>
              </w:rPr>
              <w:t>每年一次管理评审。</w:t>
            </w:r>
            <w:r>
              <w:rPr>
                <w:rFonts w:hint="eastAsia" w:asciiTheme="minorEastAsia" w:hAnsiTheme="minorEastAsia" w:eastAsiaTheme="minorEastAsia"/>
                <w:color w:val="auto"/>
                <w:szCs w:val="22"/>
                <w:u w:val="none"/>
                <w:lang w:val="en-US" w:eastAsia="zh-CN"/>
              </w:rPr>
              <w:t>2021年4月10日</w:t>
            </w:r>
          </w:p>
          <w:p>
            <w:pPr>
              <w:spacing w:line="240" w:lineRule="exact"/>
              <w:rPr>
                <w:b/>
                <w:color w:val="auto"/>
                <w:sz w:val="20"/>
                <w:szCs w:val="20"/>
                <w:u w:val="none"/>
              </w:rPr>
            </w:pPr>
            <w:r>
              <w:rPr>
                <w:rFonts w:hint="eastAsia"/>
                <w:b/>
                <w:color w:val="auto"/>
                <w:sz w:val="20"/>
                <w:szCs w:val="20"/>
                <w:u w:val="none"/>
              </w:rPr>
              <w:t xml:space="preserve">了解管理评审输入是否充分; </w:t>
            </w:r>
          </w:p>
          <w:p>
            <w:pPr>
              <w:spacing w:line="240" w:lineRule="exact"/>
              <w:ind w:firstLine="210" w:firstLineChars="100"/>
              <w:rPr>
                <w:rFonts w:asciiTheme="minorEastAsia" w:hAnsiTheme="minorEastAsia" w:eastAsiaTheme="minorEastAsia"/>
                <w:color w:val="auto"/>
                <w:szCs w:val="22"/>
                <w:u w:val="none"/>
              </w:rPr>
            </w:pPr>
            <w:r>
              <w:rPr>
                <w:rFonts w:hint="eastAsia" w:asciiTheme="minorEastAsia" w:hAnsiTheme="minorEastAsia" w:eastAsiaTheme="minorEastAsia"/>
                <w:color w:val="auto"/>
                <w:szCs w:val="22"/>
                <w:u w:val="none"/>
              </w:rPr>
              <w:t>输入基本充分。</w:t>
            </w:r>
          </w:p>
          <w:p>
            <w:pPr>
              <w:spacing w:line="240" w:lineRule="exact"/>
              <w:rPr>
                <w:b/>
                <w:color w:val="auto"/>
                <w:sz w:val="20"/>
                <w:szCs w:val="20"/>
                <w:u w:val="none"/>
              </w:rPr>
            </w:pPr>
            <w:r>
              <w:rPr>
                <w:rFonts w:hint="eastAsia"/>
                <w:b/>
                <w:color w:val="auto"/>
                <w:sz w:val="20"/>
                <w:szCs w:val="20"/>
                <w:u w:val="none"/>
              </w:rPr>
              <w:t xml:space="preserve">了解管理评审结论; </w:t>
            </w:r>
          </w:p>
          <w:p>
            <w:pPr>
              <w:spacing w:line="240" w:lineRule="exact"/>
              <w:rPr>
                <w:b/>
                <w:color w:val="FF0000"/>
                <w:sz w:val="20"/>
                <w:szCs w:val="20"/>
              </w:rPr>
            </w:pPr>
            <w:r>
              <w:rPr>
                <w:rFonts w:hint="eastAsia" w:asciiTheme="minorEastAsia" w:hAnsiTheme="minorEastAsia" w:eastAsiaTheme="minorEastAsia"/>
                <w:color w:val="auto"/>
                <w:szCs w:val="22"/>
                <w:u w:val="none"/>
              </w:rPr>
              <w:t>管理体系文件运行是有效的，方针和目标的贯彻是有效的。没有发生质量和环境投诉，运行符合法律法规的要求。领导的重视为体系的运行创造了有利条件。为保证</w:t>
            </w:r>
            <w:r>
              <w:rPr>
                <w:rFonts w:hint="default" w:asciiTheme="minorEastAsia" w:hAnsiTheme="minorEastAsia" w:eastAsiaTheme="minorEastAsia"/>
                <w:color w:val="auto"/>
                <w:szCs w:val="22"/>
                <w:u w:val="none"/>
              </w:rPr>
              <w:t>QE</w:t>
            </w:r>
            <w:r>
              <w:rPr>
                <w:rFonts w:hint="eastAsia" w:asciiTheme="minorEastAsia" w:hAnsiTheme="minorEastAsia" w:eastAsiaTheme="minorEastAsia"/>
                <w:color w:val="auto"/>
                <w:szCs w:val="22"/>
                <w:u w:val="none"/>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240" w:lineRule="exact"/>
              <w:rPr>
                <w:b/>
                <w:color w:val="auto"/>
                <w:sz w:val="20"/>
                <w:szCs w:val="20"/>
                <w:u w:val="none"/>
              </w:rPr>
            </w:pPr>
            <w:r>
              <w:rPr>
                <w:rFonts w:hint="eastAsia"/>
                <w:b/>
                <w:color w:val="auto"/>
                <w:sz w:val="20"/>
                <w:szCs w:val="20"/>
                <w:u w:val="none"/>
              </w:rPr>
              <w:t>5.  EMS是否按规定对主要污染物（污水、废气、噪声、废渣等）及排放实施了例行的监视或测量，结果是否满足相关要求？</w:t>
            </w:r>
          </w:p>
          <w:p>
            <w:pPr>
              <w:spacing w:line="240" w:lineRule="exact"/>
              <w:rPr>
                <w:rFonts w:asciiTheme="minorEastAsia" w:hAnsiTheme="minorEastAsia" w:eastAsiaTheme="minorEastAsia"/>
                <w:color w:val="auto"/>
                <w:szCs w:val="22"/>
                <w:u w:val="none"/>
              </w:rPr>
            </w:pPr>
          </w:p>
          <w:p>
            <w:pPr>
              <w:spacing w:line="240" w:lineRule="exact"/>
              <w:ind w:firstLine="210" w:firstLineChars="100"/>
              <w:rPr>
                <w:b/>
                <w:color w:val="FF0000"/>
                <w:sz w:val="20"/>
                <w:szCs w:val="20"/>
              </w:rPr>
            </w:pPr>
            <w:r>
              <w:rPr>
                <w:rFonts w:hint="eastAsia" w:asciiTheme="minorEastAsia" w:hAnsiTheme="minorEastAsia" w:eastAsiaTheme="minorEastAsia"/>
                <w:color w:val="auto"/>
                <w:szCs w:val="22"/>
                <w:u w:val="none"/>
              </w:rPr>
              <w:t>公司为产品类</w:t>
            </w:r>
            <w:r>
              <w:rPr>
                <w:rFonts w:hint="eastAsia" w:asciiTheme="minorEastAsia" w:hAnsiTheme="minorEastAsia" w:eastAsiaTheme="minorEastAsia"/>
                <w:color w:val="auto"/>
                <w:szCs w:val="22"/>
                <w:u w:val="none"/>
                <w:lang w:val="en-US" w:eastAsia="zh-CN"/>
              </w:rPr>
              <w:t>组装类</w:t>
            </w:r>
            <w:r>
              <w:rPr>
                <w:rFonts w:hint="eastAsia" w:asciiTheme="minorEastAsia" w:hAnsiTheme="minorEastAsia" w:eastAsiaTheme="minorEastAsia"/>
                <w:color w:val="auto"/>
                <w:szCs w:val="22"/>
                <w:u w:val="none"/>
              </w:rPr>
              <w:t>公司，除</w:t>
            </w:r>
            <w:r>
              <w:rPr>
                <w:rFonts w:hint="eastAsia" w:asciiTheme="minorEastAsia" w:hAnsiTheme="minorEastAsia" w:eastAsiaTheme="minorEastAsia"/>
                <w:color w:val="auto"/>
                <w:szCs w:val="22"/>
                <w:u w:val="none"/>
                <w:lang w:val="en-US" w:eastAsia="zh-CN"/>
              </w:rPr>
              <w:t>点焊过程</w:t>
            </w:r>
            <w:r>
              <w:rPr>
                <w:rFonts w:hint="eastAsia" w:asciiTheme="minorEastAsia" w:hAnsiTheme="minorEastAsia" w:eastAsiaTheme="minorEastAsia"/>
                <w:color w:val="auto"/>
                <w:szCs w:val="22"/>
                <w:u w:val="none"/>
              </w:rPr>
              <w:t>产生少量</w:t>
            </w:r>
            <w:r>
              <w:rPr>
                <w:rFonts w:hint="eastAsia" w:asciiTheme="minorEastAsia" w:hAnsiTheme="minorEastAsia" w:eastAsiaTheme="minorEastAsia"/>
                <w:color w:val="auto"/>
                <w:szCs w:val="22"/>
                <w:u w:val="none"/>
                <w:lang w:val="en-US" w:eastAsia="zh-CN"/>
              </w:rPr>
              <w:t>烟尘、</w:t>
            </w:r>
            <w:r>
              <w:rPr>
                <w:rFonts w:hint="eastAsia" w:asciiTheme="minorEastAsia" w:hAnsiTheme="minorEastAsia" w:eastAsiaTheme="minorEastAsia"/>
                <w:color w:val="auto"/>
                <w:szCs w:val="22"/>
                <w:u w:val="none"/>
              </w:rPr>
              <w:t>生活废水无其他类污染物排放。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240" w:lineRule="exact"/>
              <w:rPr>
                <w:rFonts w:asciiTheme="minorEastAsia" w:hAnsiTheme="minorEastAsia" w:eastAsiaTheme="minorEastAsia"/>
                <w:color w:val="auto"/>
                <w:szCs w:val="22"/>
                <w:u w:val="single"/>
              </w:rPr>
            </w:pPr>
            <w:r>
              <w:rPr>
                <w:rFonts w:hint="eastAsia"/>
                <w:b/>
                <w:color w:val="auto"/>
                <w:sz w:val="20"/>
                <w:szCs w:val="20"/>
                <w:u w:val="none"/>
              </w:rPr>
              <w:t xml:space="preserve">6. </w:t>
            </w:r>
            <w:r>
              <w:rPr>
                <w:rFonts w:hint="eastAsia"/>
                <w:b/>
                <w:color w:val="auto"/>
                <w:sz w:val="20"/>
                <w:szCs w:val="20"/>
              </w:rPr>
              <w:t xml:space="preserve"> </w:t>
            </w:r>
            <w:r>
              <w:rPr>
                <w:b/>
                <w:color w:val="auto"/>
                <w:sz w:val="20"/>
                <w:szCs w:val="20"/>
              </w:rPr>
              <w:t>EMS</w:t>
            </w:r>
            <w:r>
              <w:rPr>
                <w:rFonts w:hint="eastAsia"/>
                <w:b/>
                <w:color w:val="auto"/>
                <w:sz w:val="20"/>
                <w:szCs w:val="20"/>
              </w:rPr>
              <w:t>国家/地方环保部门监测结果、新改扩建项目符合环评报告、三同时验收报告要求情况及措施</w:t>
            </w:r>
          </w:p>
          <w:p>
            <w:pPr>
              <w:snapToGrid w:val="0"/>
              <w:ind w:firstLine="420" w:firstLineChars="200"/>
              <w:rPr>
                <w:rFonts w:asciiTheme="minorEastAsia" w:hAnsiTheme="minorEastAsia" w:eastAsiaTheme="minorEastAsia"/>
                <w:color w:val="FF0000"/>
                <w:szCs w:val="22"/>
                <w:u w:val="single"/>
              </w:rPr>
            </w:pPr>
            <w:r>
              <w:rPr>
                <w:rFonts w:hint="eastAsia" w:asciiTheme="minorEastAsia" w:hAnsiTheme="minorEastAsia" w:eastAsiaTheme="minorEastAsia"/>
                <w:color w:val="auto"/>
                <w:szCs w:val="22"/>
                <w:u w:val="non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300" w:lineRule="exact"/>
              <w:rPr>
                <w:b/>
                <w:color w:val="auto"/>
                <w:sz w:val="20"/>
                <w:szCs w:val="20"/>
                <w:u w:val="none"/>
              </w:rPr>
            </w:pPr>
            <w:r>
              <w:rPr>
                <w:rFonts w:hint="eastAsia"/>
                <w:b/>
                <w:color w:val="auto"/>
                <w:sz w:val="20"/>
                <w:szCs w:val="20"/>
                <w:u w:val="none"/>
              </w:rPr>
              <w:t>7. OHSMS是否按规定对职业健康安全项目进行定期测量，结果是否满足相关要求：</w:t>
            </w:r>
          </w:p>
          <w:p>
            <w:pPr>
              <w:spacing w:line="240" w:lineRule="exact"/>
              <w:rPr>
                <w:rFonts w:hint="default" w:eastAsia="宋体"/>
                <w:b/>
                <w:color w:val="FF0000"/>
                <w:sz w:val="20"/>
                <w:szCs w:val="20"/>
                <w:lang w:val="en-US" w:eastAsia="zh-CN"/>
              </w:rPr>
            </w:pPr>
            <w:r>
              <w:rPr>
                <w:b/>
                <w:color w:val="auto"/>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20" w:type="dxa"/>
            <w:vMerge w:val="continue"/>
            <w:vAlign w:val="center"/>
          </w:tcPr>
          <w:p>
            <w:pPr>
              <w:spacing w:line="240" w:lineRule="exact"/>
              <w:jc w:val="center"/>
              <w:rPr>
                <w:b/>
                <w:color w:val="FF0000"/>
                <w:sz w:val="20"/>
              </w:rPr>
            </w:pPr>
          </w:p>
        </w:tc>
        <w:tc>
          <w:tcPr>
            <w:tcW w:w="9198"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p>
          <w:p>
            <w:pPr>
              <w:spacing w:line="240" w:lineRule="exact"/>
              <w:rPr>
                <w:rFonts w:hint="default"/>
                <w:b/>
                <w:color w:val="FF0000"/>
                <w:sz w:val="20"/>
                <w:szCs w:val="20"/>
              </w:rPr>
            </w:pPr>
            <w:r>
              <w:rPr>
                <w:b/>
                <w:color w:val="auto"/>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20" w:type="dxa"/>
            <w:vMerge w:val="continue"/>
            <w:tcBorders>
              <w:bottom w:val="single" w:color="auto" w:sz="4" w:space="0"/>
            </w:tcBorders>
            <w:vAlign w:val="center"/>
          </w:tcPr>
          <w:p>
            <w:pPr>
              <w:spacing w:line="240" w:lineRule="exact"/>
              <w:jc w:val="center"/>
              <w:rPr>
                <w:b/>
                <w:color w:val="FF0000"/>
                <w:sz w:val="20"/>
              </w:rPr>
            </w:pPr>
          </w:p>
        </w:tc>
        <w:tc>
          <w:tcPr>
            <w:tcW w:w="9198"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ind w:firstLine="210" w:firstLineChars="100"/>
              <w:rPr>
                <w:b/>
                <w:color w:val="FF0000"/>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widowControl/>
              <w:spacing w:line="240" w:lineRule="exact"/>
              <w:ind w:firstLine="210" w:firstLineChars="100"/>
              <w:rPr>
                <w:b/>
                <w:color w:val="auto"/>
                <w:sz w:val="20"/>
                <w:szCs w:val="20"/>
              </w:rPr>
            </w:pPr>
            <w:r>
              <w:rPr>
                <w:rFonts w:hint="eastAsia" w:asciiTheme="minorEastAsia" w:hAnsiTheme="minorEastAsia" w:eastAsiaTheme="minorEastAsia"/>
                <w:color w:val="auto"/>
                <w:szCs w:val="22"/>
                <w:u w:val="non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ind w:firstLine="210" w:firstLineChars="100"/>
              <w:rPr>
                <w:b/>
                <w:color w:val="auto"/>
                <w:spacing w:val="-20"/>
                <w:sz w:val="20"/>
                <w:szCs w:val="20"/>
              </w:rPr>
            </w:pPr>
            <w:r>
              <w:rPr>
                <w:rFonts w:hint="eastAsia" w:asciiTheme="minorEastAsia" w:hAnsiTheme="minorEastAsia" w:eastAsiaTheme="minorEastAsia"/>
                <w:color w:val="auto"/>
                <w:szCs w:val="22"/>
                <w:u w:val="single"/>
              </w:rPr>
              <w:t>未发生。</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r>
              <w:rPr>
                <w:rFonts w:hint="eastAsia" w:asciiTheme="minorEastAsia" w:hAnsiTheme="minorEastAsia" w:eastAsiaTheme="minorEastAsia"/>
                <w:color w:val="auto"/>
                <w:szCs w:val="22"/>
                <w:u w:val="single"/>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p>
            <w:pPr>
              <w:spacing w:line="240" w:lineRule="exact"/>
              <w:ind w:firstLine="210" w:firstLineChars="100"/>
              <w:rPr>
                <w:b/>
                <w:color w:val="auto"/>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Cs w:val="21"/>
              </w:rPr>
            </w:pPr>
            <w:r>
              <w:rPr>
                <w:rFonts w:hint="eastAsia"/>
                <w:b/>
                <w:color w:val="auto"/>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w:t>
      </w:r>
      <w:r>
        <w:rPr>
          <w:rFonts w:hint="eastAsia"/>
          <w:b/>
          <w:color w:val="000000" w:themeColor="text1"/>
          <w:lang w:val="en-US" w:eastAsia="zh-CN"/>
        </w:rPr>
        <w:t>7.1.5 、7.5.3</w:t>
      </w:r>
      <w:r>
        <w:rPr>
          <w:rFonts w:hint="eastAsia"/>
          <w:b/>
          <w:color w:val="000000" w:themeColor="text1"/>
        </w:rPr>
        <w:t>/E</w:t>
      </w:r>
      <w:r>
        <w:rPr>
          <w:rFonts w:hint="eastAsia"/>
          <w:b/>
          <w:color w:val="000000" w:themeColor="text1"/>
          <w:lang w:val="en-US" w:eastAsia="zh-CN"/>
        </w:rPr>
        <w:t xml:space="preserve">9.1.2 </w:t>
      </w:r>
      <w:r>
        <w:rPr>
          <w:rFonts w:hint="eastAsia"/>
          <w:b/>
          <w:color w:val="000000" w:themeColor="text1"/>
        </w:rPr>
        <w:t>/S分开填写）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u w:val="none"/>
              </w:rPr>
            </w:pPr>
          </w:p>
          <w:p>
            <w:pPr>
              <w:spacing w:line="240" w:lineRule="exact"/>
              <w:rPr>
                <w:b/>
                <w:color w:val="000000" w:themeColor="text1"/>
                <w:sz w:val="28"/>
                <w:szCs w:val="28"/>
              </w:rPr>
            </w:pPr>
            <w:r>
              <w:rPr>
                <w:rFonts w:hint="eastAsia"/>
                <w:sz w:val="22"/>
                <w:szCs w:val="22"/>
                <w:u w:val="none"/>
              </w:rPr>
              <w:t>组织体系运行满足标准要求，既定目标能达成，满足适用的环境/职业健康安全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3" w:leftChars="-405" w:hanging="687" w:hangingChars="326"/>
        <w:rPr>
          <w:b/>
          <w:color w:val="000000" w:themeColor="text1"/>
          <w:sz w:val="16"/>
          <w:szCs w:val="16"/>
        </w:rPr>
      </w:pPr>
      <w:r>
        <w:rPr>
          <w:rFonts w:ascii="方正仿宋简体" w:eastAsia="方正仿宋简体"/>
          <w:b/>
          <w:szCs w:val="21"/>
        </w:rPr>
        <w:drawing>
          <wp:anchor distT="0" distB="0" distL="114300" distR="114300" simplePos="0" relativeHeight="251664384" behindDoc="0" locked="0" layoutInCell="1" allowOverlap="1">
            <wp:simplePos x="0" y="0"/>
            <wp:positionH relativeFrom="column">
              <wp:posOffset>1708150</wp:posOffset>
            </wp:positionH>
            <wp:positionV relativeFrom="paragraph">
              <wp:posOffset>407035</wp:posOffset>
            </wp:positionV>
            <wp:extent cx="497840" cy="316865"/>
            <wp:effectExtent l="0" t="0" r="16510" b="6985"/>
            <wp:wrapNone/>
            <wp:docPr id="4"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新文档 2019-04-09 16.49.33"/>
                    <pic:cNvPicPr>
                      <a:picLocks noChangeAspect="1"/>
                    </pic:cNvPicPr>
                  </pic:nvPicPr>
                  <pic:blipFill>
                    <a:blip r:embed="rId6"/>
                    <a:stretch>
                      <a:fillRect/>
                    </a:stretch>
                  </pic:blipFill>
                  <pic:spPr>
                    <a:xfrm>
                      <a:off x="0" y="0"/>
                      <a:ext cx="497840" cy="31686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rPr>
          <w:b/>
          <w:color w:val="000000" w:themeColor="text1"/>
          <w:szCs w:val="21"/>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sz w:val="26"/>
          <w:szCs w:val="26"/>
          <w:lang w:val="en-US" w:eastAsia="zh-CN"/>
        </w:rPr>
        <w:drawing>
          <wp:inline distT="0" distB="0" distL="114300" distR="114300">
            <wp:extent cx="797560" cy="537845"/>
            <wp:effectExtent l="0" t="0" r="2540" b="14605"/>
            <wp:docPr id="6" name="图片 6" descr="28a4a69f4f847d0ec671e959d7ee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a4a69f4f847d0ec671e959d7eecb6"/>
                    <pic:cNvPicPr>
                      <a:picLocks noChangeAspect="1"/>
                    </pic:cNvPicPr>
                  </pic:nvPicPr>
                  <pic:blipFill>
                    <a:blip r:embed="rId7"/>
                    <a:stretch>
                      <a:fillRect/>
                    </a:stretch>
                  </pic:blipFill>
                  <pic:spPr>
                    <a:xfrm>
                      <a:off x="0" y="0"/>
                      <a:ext cx="797560" cy="537845"/>
                    </a:xfrm>
                    <a:prstGeom prst="rect">
                      <a:avLst/>
                    </a:prstGeom>
                  </pic:spPr>
                </pic:pic>
              </a:graphicData>
            </a:graphic>
          </wp:inline>
        </w:drawing>
      </w:r>
      <w:r>
        <w:rPr>
          <w:rFonts w:hint="eastAsia"/>
          <w:b/>
          <w:color w:val="000000" w:themeColor="text1"/>
          <w:sz w:val="26"/>
          <w:szCs w:val="26"/>
          <w:lang w:val="en-US" w:eastAsia="zh-CN"/>
        </w:rPr>
        <w:t xml:space="preserve">   </w:t>
      </w:r>
      <w:r>
        <w:rPr>
          <w:rFonts w:hint="eastAsia"/>
          <w:b/>
          <w:color w:val="000000" w:themeColor="text1"/>
          <w:sz w:val="26"/>
          <w:szCs w:val="26"/>
          <w:lang w:val="en-US" w:eastAsia="zh-CN"/>
        </w:rPr>
        <w:drawing>
          <wp:inline distT="0" distB="0" distL="114300" distR="114300">
            <wp:extent cx="697230" cy="461010"/>
            <wp:effectExtent l="0" t="0" r="7620" b="15240"/>
            <wp:docPr id="5" name="图片 5" descr="e98c9ce84c05368add69a3a734aa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98c9ce84c05368add69a3a734aa2a3"/>
                    <pic:cNvPicPr>
                      <a:picLocks noChangeAspect="1"/>
                    </pic:cNvPicPr>
                  </pic:nvPicPr>
                  <pic:blipFill>
                    <a:blip r:embed="rId8"/>
                    <a:stretch>
                      <a:fillRect/>
                    </a:stretch>
                  </pic:blipFill>
                  <pic:spPr>
                    <a:xfrm>
                      <a:off x="0" y="0"/>
                      <a:ext cx="697230" cy="461010"/>
                    </a:xfrm>
                    <a:prstGeom prst="rect">
                      <a:avLst/>
                    </a:prstGeom>
                  </pic:spPr>
                </pic:pic>
              </a:graphicData>
            </a:graphic>
          </wp:inline>
        </w:drawing>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 xml:space="preserve"> 10</w:t>
      </w:r>
      <w:r>
        <w:rPr>
          <w:rFonts w:hint="eastAsia"/>
          <w:b/>
          <w:color w:val="000000" w:themeColor="text1"/>
          <w:szCs w:val="21"/>
        </w:rPr>
        <w:t>日</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方正仿宋简体" w:eastAsia="方正仿宋简体"/>
          <w:b/>
          <w:szCs w:val="21"/>
        </w:rPr>
        <w:drawing>
          <wp:anchor distT="0" distB="0" distL="114300" distR="114300" simplePos="0" relativeHeight="251663360" behindDoc="0" locked="0" layoutInCell="1" allowOverlap="1">
            <wp:simplePos x="0" y="0"/>
            <wp:positionH relativeFrom="column">
              <wp:posOffset>802005</wp:posOffset>
            </wp:positionH>
            <wp:positionV relativeFrom="paragraph">
              <wp:posOffset>122555</wp:posOffset>
            </wp:positionV>
            <wp:extent cx="645160" cy="354330"/>
            <wp:effectExtent l="0" t="0" r="2540" b="7620"/>
            <wp:wrapNone/>
            <wp:docPr id="3"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文档 2019-04-09 16.49.33"/>
                    <pic:cNvPicPr>
                      <a:picLocks noChangeAspect="1"/>
                    </pic:cNvPicPr>
                  </pic:nvPicPr>
                  <pic:blipFill>
                    <a:blip r:embed="rId6"/>
                    <a:stretch>
                      <a:fillRect/>
                    </a:stretch>
                  </pic:blipFill>
                  <pic:spPr>
                    <a:xfrm>
                      <a:off x="0" y="0"/>
                      <a:ext cx="645160" cy="35433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 xml:space="preserve"> 15</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北魏楷书简体">
    <w:altName w:val="宋体"/>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DC984"/>
    <w:multiLevelType w:val="singleLevel"/>
    <w:tmpl w:val="D3EDC984"/>
    <w:lvl w:ilvl="0" w:tentative="0">
      <w:start w:val="10"/>
      <w:numFmt w:val="chineseCounting"/>
      <w:suff w:val="nothing"/>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2A39CC"/>
    <w:rsid w:val="17671785"/>
    <w:rsid w:val="1C3412FC"/>
    <w:rsid w:val="1E6D2684"/>
    <w:rsid w:val="23980FB9"/>
    <w:rsid w:val="243661F8"/>
    <w:rsid w:val="24E33313"/>
    <w:rsid w:val="250C2E84"/>
    <w:rsid w:val="2BAB2FB8"/>
    <w:rsid w:val="33D874DB"/>
    <w:rsid w:val="352F22FC"/>
    <w:rsid w:val="4BFD72A0"/>
    <w:rsid w:val="4EE65D92"/>
    <w:rsid w:val="68FF6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ind w:left="420" w:leftChars="200"/>
    </w:pPr>
    <w:rPr>
      <w:sz w:val="16"/>
      <w:szCs w:val="16"/>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2021-06-17T00:43:22Z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13ACADBD72A14C0AB7B108EA9A7BDAAD</vt:lpwstr>
  </property>
</Properties>
</file>