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Q:监查2,E:监查2,O:监查2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四川省景成匠心建筑劳务有限公司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易金芮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firstLine="211" w:firstLineChars="100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 w:val="0"/>
                <w:szCs w:val="21"/>
                <w:lang w:val="en-US" w:eastAsia="zh-CN"/>
              </w:rPr>
              <w:t>现场查看：施工劳务分包产生的建筑垃圾，生活垃圾堆放混乱，不符合GB/T24001-2016  标准8.1条款“组织应建立、实施、控制并保持满足环境管理体系要求以及实施6.1和6.2所识别的措施所需的过程，通过：按照运行准则实施过程控制”的要求。</w:t>
            </w: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3021330</wp:posOffset>
                  </wp:positionH>
                  <wp:positionV relativeFrom="paragraph">
                    <wp:posOffset>53975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126365</wp:posOffset>
                  </wp:positionV>
                  <wp:extent cx="757555" cy="419735"/>
                  <wp:effectExtent l="0" t="0" r="4445" b="698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83198A"/>
    <w:rsid w:val="6A017453"/>
    <w:rsid w:val="780377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2021-06-11T06:50:25Z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F5285E9F5F8740ADB9363D68662325ED</vt:lpwstr>
  </property>
</Properties>
</file>