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drawing>
          <wp:inline distT="0" distB="0" distL="114300" distR="114300">
            <wp:extent cx="6146800" cy="8388350"/>
            <wp:effectExtent l="0" t="0" r="0" b="6350"/>
            <wp:docPr id="2" name="图片 2" descr="e5b170872e9df2acb43fbda6c237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5b170872e9df2acb43fbda6c23709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6800" cy="838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290310" cy="8701405"/>
            <wp:effectExtent l="0" t="0" r="8890" b="10795"/>
            <wp:docPr id="3" name="图片 3" descr="c6d6caa510a66bbe7a758fa32ebe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6d6caa510a66bbe7a758fa32ebe9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0310" cy="870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bookmarkStart w:id="5" w:name="_GoBack"/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289675" cy="8938895"/>
            <wp:effectExtent l="0" t="0" r="9525" b="1905"/>
            <wp:docPr id="4" name="图片 4" descr="d34250e2f0ca4d2ac7dee8219fb7f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34250e2f0ca4d2ac7dee8219fb7f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9675" cy="893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"/>
    </w:p>
    <w:p>
      <w:pPr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default" w:ascii="Arial" w:hAnsi="Arial" w:eastAsia="宋体" w:cs="Arial"/>
                <w:b/>
                <w:sz w:val="30"/>
                <w:szCs w:val="30"/>
                <w:lang w:val="en-US" w:eastAsia="zh-CN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能源管理体系：初次认证第（二）阶段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宁波喜悦智行科技股份有限公司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人事行政部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毛燕利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经检查法律法规清单，缺少宁波市地方政府关于能源方面的法规条例等文件。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经检查法律法规清单，缺少宁波市地方政府关于能源方面的法规条例等文件。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892AF7"/>
    <w:rsid w:val="295A7C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2021-06-14T07:03:59Z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E8C00F75D81247BBA9AAC14F8635465E</vt:lpwstr>
  </property>
</Properties>
</file>