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bookmarkStart w:id="19" w:name="_GoBack"/>
      <w:bookmarkEnd w:id="19"/>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0510-2021-EnMS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宁波喜悦智行科技股份有限公司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r>
        <w:rPr>
          <w:rFonts w:hint="eastAsia"/>
          <w:sz w:val="28"/>
          <w:szCs w:val="28"/>
          <w:highlight w:val="yellow"/>
          <w:lang w:eastAsia="zh-CN"/>
        </w:rPr>
        <w:t>☑</w:t>
      </w:r>
      <w:r>
        <w:rPr>
          <w:rFonts w:hint="eastAsia"/>
          <w:sz w:val="28"/>
          <w:szCs w:val="28"/>
          <w:highlight w:val="yellow"/>
        </w:rPr>
        <w:t>能源管理体系（</w:t>
      </w:r>
      <w:r>
        <w:rPr>
          <w:sz w:val="28"/>
          <w:szCs w:val="28"/>
          <w:highlight w:val="yellow"/>
        </w:rPr>
        <w:t>E</w:t>
      </w:r>
      <w:r>
        <w:rPr>
          <w:rFonts w:hint="eastAsia"/>
          <w:sz w:val="28"/>
          <w:szCs w:val="28"/>
          <w:highlight w:val="yellow"/>
        </w:rPr>
        <w:t>n</w:t>
      </w:r>
      <w:r>
        <w:rPr>
          <w:sz w:val="28"/>
          <w:szCs w:val="28"/>
          <w:highlight w:val="yellow"/>
        </w:rPr>
        <w:t>MS</w:t>
      </w:r>
      <w:r>
        <w:rPr>
          <w:rFonts w:hint="eastAsia"/>
          <w:sz w:val="28"/>
          <w:szCs w:val="28"/>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spacing w:line="320" w:lineRule="exact"/>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一、</w:t>
      </w:r>
      <w:r>
        <w:rPr>
          <w:rFonts w:hint="eastAsia" w:ascii="宋体" w:hAnsi="宋体"/>
          <w:b/>
          <w:color w:val="000000" w:themeColor="text1"/>
          <w:sz w:val="20"/>
          <w:szCs w:val="20"/>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val="0"/>
                <w:bCs/>
                <w:color w:val="000000" w:themeColor="text1"/>
                <w:sz w:val="20"/>
                <w:szCs w:val="20"/>
              </w:rPr>
              <w:t>宁波喜悦智行科技股份有限公司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val="0"/>
                <w:bCs/>
                <w:color w:val="000000" w:themeColor="text1"/>
                <w:sz w:val="20"/>
                <w:szCs w:val="20"/>
              </w:rPr>
              <w:t>150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val="0"/>
                <w:bCs/>
                <w:color w:val="000000" w:themeColor="text1"/>
                <w:sz w:val="20"/>
                <w:szCs w:val="20"/>
              </w:rPr>
              <w:t>浙江省慈溪市桥头镇吴山南路1111号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315317</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400" w:firstLineChars="700"/>
              <w:rPr>
                <w:rFonts w:ascii="宋体" w:hAnsi="宋体"/>
                <w:b/>
                <w:color w:val="000000" w:themeColor="text1"/>
                <w:sz w:val="20"/>
                <w:szCs w:val="20"/>
              </w:rPr>
            </w:pPr>
            <w:bookmarkStart w:id="6" w:name="办公地址"/>
            <w:r>
              <w:rPr>
                <w:rFonts w:ascii="宋体" w:hAnsi="宋体"/>
                <w:b w:val="0"/>
                <w:bCs/>
                <w:color w:val="000000" w:themeColor="text1"/>
                <w:sz w:val="20"/>
                <w:szCs w:val="20"/>
              </w:rPr>
              <w:t>浙江省慈溪市桥头镇吴山南路1111号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315317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asciiTheme="minorEastAsia" w:hAnsiTheme="minorEastAsia" w:eastAsiaTheme="minorEastAsia"/>
                <w:sz w:val="20"/>
              </w:rPr>
              <w:t xml:space="preserve"> 浙江省慈溪市桥头镇智翔路188、199号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ascii="宋体" w:hAnsi="宋体"/>
                <w:b/>
                <w:color w:val="000000" w:themeColor="text1"/>
                <w:sz w:val="20"/>
                <w:szCs w:val="20"/>
              </w:rPr>
              <w:t>315317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cs="Times New Roman" w:asciiTheme="minorEastAsia" w:hAnsiTheme="minorEastAsia" w:eastAsiaTheme="minorEastAsia"/>
                <w:sz w:val="20"/>
              </w:rPr>
              <w:t>毛燕利</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cs="Times New Roman" w:asciiTheme="minorEastAsia" w:hAnsiTheme="minorEastAsia" w:eastAsiaTheme="minorEastAsia"/>
                <w:sz w:val="20"/>
              </w:rPr>
              <w:t>0574-58968898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cs="Times New Roman" w:asciiTheme="minorEastAsia" w:hAnsiTheme="minorEastAsia" w:eastAsiaTheme="minorEastAsia"/>
                <w:sz w:val="20"/>
              </w:rPr>
              <w:t>罗志强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cs="Times New Roman" w:asciiTheme="minorEastAsia" w:hAnsiTheme="minorEastAsia" w:eastAsiaTheme="minorEastAsia"/>
                <w:sz w:val="20"/>
              </w:rPr>
              <w:t>罗建校</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hint="default" w:ascii="宋体" w:hAnsi="宋体" w:eastAsiaTheme="minorEastAsia"/>
                <w:b/>
                <w:color w:val="000000" w:themeColor="text1"/>
                <w:sz w:val="20"/>
                <w:szCs w:val="20"/>
                <w:u w:val="single"/>
                <w:lang w:val="en-US" w:eastAsia="zh-CN"/>
              </w:rPr>
            </w:pPr>
            <w:bookmarkStart w:id="14" w:name="审核范围"/>
            <w:r>
              <w:rPr>
                <w:rFonts w:cs="Times New Roman" w:asciiTheme="minorEastAsia" w:hAnsiTheme="minorEastAsia" w:eastAsiaTheme="minorEastAsia"/>
                <w:sz w:val="20"/>
              </w:rPr>
              <w:t>吸塑产品、注塑产品、压铸产品、围板产品、中空板、蜂窝板产品的设计、生产和销售</w:t>
            </w:r>
            <w:bookmarkEnd w:id="14"/>
            <w:r>
              <w:rPr>
                <w:rFonts w:hint="eastAsia" w:cs="Times New Roman" w:asciiTheme="minorEastAsia" w:hAnsiTheme="minorEastAsia" w:eastAsiaTheme="minorEastAsia"/>
                <w:sz w:val="20"/>
                <w:lang w:val="en-US" w:eastAsia="zh-CN"/>
              </w:rPr>
              <w:t>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jc w:val="center"/>
              <w:rPr>
                <w:rFonts w:ascii="宋体" w:hAnsi="宋体"/>
                <w:b/>
                <w:color w:val="000000" w:themeColor="text1"/>
                <w:sz w:val="20"/>
                <w:szCs w:val="20"/>
              </w:rPr>
            </w:pPr>
            <w:bookmarkStart w:id="15" w:name="专业代码"/>
            <w:r>
              <w:rPr>
                <w:rFonts w:ascii="宋体" w:hAnsi="宋体"/>
                <w:b/>
                <w:color w:val="000000" w:themeColor="text1"/>
                <w:sz w:val="20"/>
                <w:szCs w:val="20"/>
              </w:rPr>
              <w:t>2.10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2020-06-10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numPr>
          <w:ilvl w:val="0"/>
          <w:numId w:val="0"/>
        </w:numPr>
        <w:rPr>
          <w:rFonts w:hint="eastAsia"/>
        </w:rPr>
      </w:pPr>
    </w:p>
    <w:p>
      <w:r>
        <w:rPr>
          <w:rFonts w:hint="eastAsia"/>
        </w:rPr>
        <w:t>二、本次审核信息</w:t>
      </w:r>
    </w:p>
    <w:tbl>
      <w:tblPr>
        <w:tblStyle w:val="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17" w:name="auDate"/>
            <w:bookmarkEnd w:id="17"/>
            <w:r>
              <w:rPr>
                <w:rFonts w:hint="eastAsia"/>
              </w:rPr>
              <w:t xml:space="preserve">  </w:t>
            </w:r>
            <w:r>
              <w:rPr>
                <w:rFonts w:hint="eastAsia"/>
                <w:lang w:val="en-US" w:eastAsia="zh-CN"/>
              </w:rPr>
              <w:t>2021</w:t>
            </w:r>
            <w:r>
              <w:rPr>
                <w:rFonts w:hint="eastAsia"/>
              </w:rPr>
              <w:t xml:space="preserve">年 </w:t>
            </w:r>
            <w:r>
              <w:rPr>
                <w:rFonts w:hint="eastAsia"/>
                <w:lang w:val="en-US" w:eastAsia="zh-CN"/>
              </w:rPr>
              <w:t>6</w:t>
            </w:r>
            <w:r>
              <w:rPr>
                <w:rFonts w:hint="eastAsia"/>
              </w:rPr>
              <w:t xml:space="preserve"> 月 </w:t>
            </w:r>
            <w:r>
              <w:rPr>
                <w:rFonts w:hint="eastAsia"/>
                <w:lang w:val="en-US" w:eastAsia="zh-CN"/>
              </w:rPr>
              <w:t>13</w:t>
            </w:r>
            <w:r>
              <w:rPr>
                <w:rFonts w:hint="eastAsia"/>
              </w:rPr>
              <w:t xml:space="preserve"> 日</w:t>
            </w:r>
            <w:r>
              <w:rPr>
                <w:rFonts w:hint="eastAsia"/>
                <w:lang w:val="en-US" w:eastAsia="zh-CN"/>
              </w:rPr>
              <w:t>13:00</w:t>
            </w:r>
            <w:r>
              <w:rPr>
                <w:rFonts w:hint="eastAsia"/>
              </w:rPr>
              <w:t xml:space="preserve">至 </w:t>
            </w:r>
            <w:r>
              <w:rPr>
                <w:rFonts w:hint="eastAsia"/>
                <w:lang w:val="en-US" w:eastAsia="zh-CN"/>
              </w:rPr>
              <w:t>2021</w:t>
            </w:r>
            <w:r>
              <w:rPr>
                <w:rFonts w:hint="eastAsia"/>
              </w:rPr>
              <w:t>年</w:t>
            </w:r>
            <w:r>
              <w:rPr>
                <w:rFonts w:hint="eastAsia"/>
                <w:lang w:val="en-US" w:eastAsia="zh-CN"/>
              </w:rPr>
              <w:t>6</w:t>
            </w:r>
            <w:r>
              <w:rPr>
                <w:rFonts w:hint="eastAsia"/>
              </w:rPr>
              <w:t xml:space="preserve">月 </w:t>
            </w:r>
            <w:r>
              <w:rPr>
                <w:rFonts w:hint="eastAsia"/>
                <w:lang w:val="en-US" w:eastAsia="zh-CN"/>
              </w:rPr>
              <w:t>15</w:t>
            </w:r>
            <w:r>
              <w:rPr>
                <w:rFonts w:hint="eastAsia"/>
              </w:rPr>
              <w:t xml:space="preserve"> 日 </w:t>
            </w:r>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r>
              <w:rPr>
                <w:rFonts w:hint="eastAsia"/>
                <w:lang w:eastAsia="zh-CN"/>
              </w:rPr>
              <w:t>□</w:t>
            </w:r>
            <w:r>
              <w:rPr>
                <w:rFonts w:hint="eastAsia"/>
              </w:rPr>
              <w:t xml:space="preserve">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240"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□GB/T28001-2011  □ISO45001：2018标准</w:t>
            </w:r>
          </w:p>
          <w:p>
            <w:pPr>
              <w:rPr>
                <w:rFonts w:hint="eastAsia" w:ascii="宋体" w:hAnsi="宋体"/>
                <w:b/>
                <w:color w:val="000000"/>
                <w:sz w:val="20"/>
                <w:highlight w:val="yellow"/>
                <w:lang w:val="de-DE"/>
              </w:rPr>
            </w:pP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ISO50001：2018标准 </w:t>
            </w:r>
            <w:r>
              <w:rPr>
                <w:rFonts w:hint="eastAsia" w:ascii="宋体" w:hAnsi="宋体"/>
                <w:b/>
                <w:color w:val="000000"/>
                <w:sz w:val="20"/>
                <w:highlight w:val="yellow"/>
                <w:lang w:val="en-US" w:eastAsia="zh-CN"/>
              </w:rPr>
              <w:t xml:space="preserve">   </w:t>
            </w:r>
            <w:r>
              <w:rPr>
                <w:rFonts w:hint="eastAsia" w:ascii="宋体" w:hAnsi="宋体"/>
                <w:b/>
                <w:color w:val="000000"/>
                <w:sz w:val="20"/>
                <w:highlight w:val="yellow"/>
                <w:lang w:val="de-DE"/>
              </w:rPr>
              <w:t>RB/T114-2014《能源管理体系 纯碱、焦化、橡塑制品、制药等化工企业认证要求》</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yellow"/>
              </w:rPr>
              <w:t>EnMS</w:t>
            </w:r>
          </w:p>
        </w:tc>
        <w:tc>
          <w:tcPr>
            <w:tcW w:w="4616" w:type="dxa"/>
            <w:gridSpan w:val="2"/>
            <w:vAlign w:val="center"/>
          </w:tcPr>
          <w:p>
            <w:pPr>
              <w:rPr>
                <w:rFonts w:hint="default" w:eastAsia="宋体"/>
                <w:lang w:val="en-US" w:eastAsia="zh-CN"/>
              </w:rPr>
            </w:pPr>
            <w:r>
              <w:rPr>
                <w:sz w:val="20"/>
              </w:rPr>
              <w:t>吸塑产品、注塑产品、压铸产品、围板产品、中空板、蜂窝板产品的设计、生产和销售</w:t>
            </w:r>
            <w:r>
              <w:rPr>
                <w:rFonts w:hint="eastAsia"/>
                <w:sz w:val="20"/>
                <w:lang w:val="en-US" w:eastAsia="zh-CN"/>
              </w:rPr>
              <w:t>涉及的能源管理活动。</w:t>
            </w:r>
          </w:p>
        </w:tc>
        <w:tc>
          <w:tcPr>
            <w:tcW w:w="3268" w:type="dxa"/>
            <w:gridSpan w:val="2"/>
            <w:vAlign w:val="center"/>
          </w:tcPr>
          <w:p>
            <w:r>
              <w:rPr>
                <w:rFonts w:ascii="宋体" w:hAnsi="宋体"/>
                <w:b/>
                <w:color w:val="000000" w:themeColor="text1"/>
                <w:sz w:val="20"/>
                <w:szCs w:val="20"/>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年</w:t>
            </w:r>
            <w:r>
              <w:rPr>
                <w:rFonts w:hint="eastAsia"/>
                <w:lang w:val="en-US" w:eastAsia="zh-CN"/>
              </w:rPr>
              <w:t>6</w:t>
            </w:r>
            <w:r>
              <w:rPr>
                <w:rFonts w:hint="eastAsia"/>
              </w:rPr>
              <w:t xml:space="preserve">月 </w:t>
            </w:r>
            <w:r>
              <w:rPr>
                <w:rFonts w:hint="eastAsia"/>
                <w:lang w:val="en-US" w:eastAsia="zh-CN"/>
              </w:rPr>
              <w:t>10</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highlight w:val="yellow"/>
              </w:rPr>
              <w:t>能源管理体系运行已超过6个月</w:t>
            </w:r>
          </w:p>
        </w:tc>
        <w:tc>
          <w:tcPr>
            <w:tcW w:w="3268" w:type="dxa"/>
            <w:gridSpan w:val="2"/>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宁波喜悦智行科技股份有限公司</w:t>
            </w:r>
            <w:r>
              <w:rPr>
                <w:rFonts w:hint="eastAsia"/>
                <w:sz w:val="21"/>
                <w:szCs w:val="21"/>
                <w:lang w:val="en-US" w:eastAsia="zh-CN"/>
              </w:rPr>
              <w:t>/</w:t>
            </w:r>
            <w:r>
              <w:rPr>
                <w:rFonts w:asciiTheme="minorEastAsia" w:hAnsiTheme="minorEastAsia" w:eastAsiaTheme="minorEastAsia"/>
                <w:sz w:val="20"/>
              </w:rPr>
              <w:t>浙江省慈溪市桥头镇吴山南路1111号</w:t>
            </w:r>
          </w:p>
        </w:tc>
        <w:tc>
          <w:tcPr>
            <w:tcW w:w="2267" w:type="dxa"/>
          </w:tcPr>
          <w:p>
            <w:pPr>
              <w:numPr>
                <w:ilvl w:val="0"/>
                <w:numId w:val="1"/>
              </w:numPr>
              <w:rPr>
                <w:rFonts w:hint="eastAsia" w:asciiTheme="minorEastAsia" w:hAnsiTheme="minorEastAsia" w:eastAsiaTheme="minorEastAsia"/>
                <w:sz w:val="20"/>
                <w:lang w:eastAsia="zh-CN"/>
              </w:rPr>
            </w:pPr>
            <w:r>
              <w:rPr>
                <w:rFonts w:asciiTheme="minorEastAsia" w:hAnsiTheme="minorEastAsia" w:eastAsiaTheme="minorEastAsia"/>
                <w:sz w:val="20"/>
              </w:rPr>
              <w:t>浙江省慈溪市桥头镇吴山南路1111号</w:t>
            </w:r>
            <w:r>
              <w:rPr>
                <w:rFonts w:hint="eastAsia" w:asciiTheme="minorEastAsia" w:hAnsiTheme="minorEastAsia" w:eastAsiaTheme="minorEastAsia"/>
                <w:sz w:val="20"/>
                <w:lang w:eastAsia="zh-CN"/>
              </w:rPr>
              <w:t>；</w:t>
            </w:r>
          </w:p>
          <w:p>
            <w:pPr>
              <w:numPr>
                <w:ilvl w:val="0"/>
                <w:numId w:val="1"/>
              </w:numPr>
              <w:rPr>
                <w:rFonts w:hint="eastAsia" w:asciiTheme="minorEastAsia" w:hAnsiTheme="minorEastAsia" w:eastAsiaTheme="minorEastAsia"/>
                <w:sz w:val="20"/>
                <w:lang w:val="de-DE" w:eastAsia="zh-CN"/>
              </w:rPr>
            </w:pPr>
            <w:r>
              <w:rPr>
                <w:rFonts w:asciiTheme="minorEastAsia" w:hAnsiTheme="minorEastAsia" w:eastAsiaTheme="minorEastAsia"/>
                <w:sz w:val="20"/>
              </w:rPr>
              <w:t>浙江省慈溪市桥头镇智翔路188、199号</w:t>
            </w:r>
          </w:p>
        </w:tc>
        <w:tc>
          <w:tcPr>
            <w:tcW w:w="571" w:type="dxa"/>
            <w:vAlign w:val="center"/>
          </w:tcPr>
          <w:p>
            <w:pPr>
              <w:rPr>
                <w:rFonts w:hint="default" w:eastAsia="宋体"/>
                <w:lang w:val="en-US" w:eastAsia="zh-CN"/>
              </w:rPr>
            </w:pPr>
            <w:r>
              <w:rPr>
                <w:rFonts w:hint="eastAsia"/>
                <w:lang w:val="en-US" w:eastAsia="zh-CN"/>
              </w:rPr>
              <w:t>150</w:t>
            </w:r>
          </w:p>
        </w:tc>
        <w:tc>
          <w:tcPr>
            <w:tcW w:w="2803" w:type="dxa"/>
            <w:vAlign w:val="center"/>
          </w:tcPr>
          <w:p>
            <w:pPr>
              <w:rPr>
                <w:lang w:eastAsia="ja-JP"/>
              </w:rPr>
            </w:pPr>
            <w:r>
              <w:rPr>
                <w:sz w:val="20"/>
              </w:rPr>
              <w:t>吸塑产品、注塑产品、压铸产品、围板产品、中空板、蜂窝板产品的设计、生产和销售</w:t>
            </w:r>
            <w:r>
              <w:rPr>
                <w:rFonts w:hint="eastAsia"/>
                <w:sz w:val="20"/>
                <w:lang w:val="en-US" w:eastAsia="zh-CN"/>
              </w:rPr>
              <w:t>涉及的能源管理活动。</w:t>
            </w:r>
          </w:p>
        </w:tc>
        <w:tc>
          <w:tcPr>
            <w:tcW w:w="669" w:type="dxa"/>
            <w:vAlign w:val="center"/>
          </w:tcPr>
          <w:p>
            <w:pPr>
              <w:rPr>
                <w:rFonts w:hint="default" w:eastAsia="宋体"/>
                <w:lang w:val="en-US" w:eastAsia="zh-CN"/>
              </w:rPr>
            </w:pPr>
            <w:r>
              <w:rPr>
                <w:rFonts w:hint="eastAsia"/>
                <w:lang w:val="en-US" w:eastAsia="zh-CN"/>
              </w:rPr>
              <w:t>ISO5001-2018</w:t>
            </w:r>
          </w:p>
        </w:tc>
        <w:sdt>
          <w:sdtPr>
            <w:rPr>
              <w:rFonts w:hint="eastAsia" w:ascii="宋体" w:hAnsi="宋体" w:eastAsia="宋体" w:cs="宋体"/>
            </w:rPr>
            <w:id w:val="271604670"/>
          </w:sdtPr>
          <w:sdtEndPr>
            <w:rPr>
              <w:rFonts w:hint="eastAsia" w:ascii="宋体" w:hAnsi="宋体" w:eastAsia="宋体" w:cs="宋体"/>
            </w:rPr>
          </w:sdtEndPr>
          <w:sdtContent>
            <w:tc>
              <w:tcPr>
                <w:tcW w:w="668" w:type="dxa"/>
                <w:shd w:val="clear" w:color="auto" w:fill="FFFFFF"/>
              </w:tcPr>
              <w:p>
                <w: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numPr>
          <w:ilvl w:val="0"/>
          <w:numId w:val="2"/>
        </w:numPr>
        <w:rPr>
          <w:rFonts w:hint="eastAsia"/>
        </w:rPr>
      </w:pPr>
      <w:r>
        <w:rPr>
          <w:rFonts w:hint="eastAsia"/>
        </w:rPr>
        <w:t>审核组成员信息</w:t>
      </w:r>
    </w:p>
    <w:tbl>
      <w:tblPr>
        <w:tblStyle w:val="9"/>
        <w:tblpPr w:leftFromText="180" w:rightFromText="180" w:vertAnchor="text" w:horzAnchor="page" w:tblpX="1055" w:tblpY="605"/>
        <w:tblOverlap w:val="never"/>
        <w:tblW w:w="9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sz w:val="18"/>
                <w:szCs w:val="18"/>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sz w:val="18"/>
                <w:szCs w:val="18"/>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sz w:val="18"/>
                <w:szCs w:val="18"/>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sz w:val="18"/>
                <w:szCs w:val="18"/>
              </w:rPr>
            </w:pPr>
            <w:r>
              <w:rPr>
                <w:rFonts w:hint="eastAsia"/>
                <w:sz w:val="18"/>
                <w:szCs w:val="18"/>
              </w:rPr>
              <w:t>周涛</w:t>
            </w:r>
          </w:p>
        </w:tc>
        <w:tc>
          <w:tcPr>
            <w:tcW w:w="992" w:type="dxa"/>
            <w:vAlign w:val="center"/>
          </w:tcPr>
          <w:p>
            <w:pPr>
              <w:spacing w:line="240" w:lineRule="exact"/>
              <w:jc w:val="center"/>
              <w:rPr>
                <w:rFonts w:hint="eastAsia"/>
                <w:sz w:val="18"/>
                <w:szCs w:val="18"/>
              </w:rPr>
            </w:pPr>
            <w:r>
              <w:rPr>
                <w:rFonts w:hint="eastAsia"/>
                <w:sz w:val="18"/>
                <w:szCs w:val="18"/>
              </w:rPr>
              <w:t>组长</w:t>
            </w:r>
          </w:p>
        </w:tc>
        <w:tc>
          <w:tcPr>
            <w:tcW w:w="1216" w:type="dxa"/>
            <w:vAlign w:val="center"/>
          </w:tcPr>
          <w:p>
            <w:pPr>
              <w:spacing w:line="240" w:lineRule="exact"/>
              <w:jc w:val="center"/>
              <w:rPr>
                <w:rFonts w:hint="eastAsia"/>
                <w:sz w:val="18"/>
                <w:szCs w:val="18"/>
              </w:rPr>
            </w:pPr>
            <w:r>
              <w:rPr>
                <w:rFonts w:hint="eastAsia"/>
                <w:sz w:val="18"/>
                <w:szCs w:val="18"/>
              </w:rPr>
              <w:t>男</w:t>
            </w:r>
          </w:p>
        </w:tc>
        <w:tc>
          <w:tcPr>
            <w:tcW w:w="3478" w:type="dxa"/>
            <w:gridSpan w:val="3"/>
            <w:vAlign w:val="center"/>
          </w:tcPr>
          <w:p>
            <w:pPr>
              <w:spacing w:line="240" w:lineRule="exact"/>
              <w:jc w:val="center"/>
              <w:rPr>
                <w:rFonts w:hint="eastAsia"/>
                <w:sz w:val="18"/>
                <w:szCs w:val="18"/>
              </w:rPr>
            </w:pPr>
            <w:r>
              <w:rPr>
                <w:rFonts w:hint="eastAsia"/>
                <w:sz w:val="18"/>
                <w:szCs w:val="18"/>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sz w:val="18"/>
                <w:szCs w:val="18"/>
              </w:rPr>
            </w:pPr>
            <w:r>
              <w:rPr>
                <w:rFonts w:hint="eastAsia"/>
                <w:sz w:val="18"/>
                <w:szCs w:val="18"/>
              </w:rPr>
              <w:t>李丽英</w:t>
            </w:r>
          </w:p>
        </w:tc>
        <w:tc>
          <w:tcPr>
            <w:tcW w:w="992" w:type="dxa"/>
            <w:vAlign w:val="center"/>
          </w:tcPr>
          <w:p>
            <w:pPr>
              <w:spacing w:line="240" w:lineRule="exact"/>
              <w:jc w:val="center"/>
              <w:rPr>
                <w:rFonts w:hint="eastAsia"/>
                <w:sz w:val="18"/>
                <w:szCs w:val="18"/>
              </w:rPr>
            </w:pPr>
            <w:r>
              <w:rPr>
                <w:rFonts w:hint="eastAsia"/>
                <w:sz w:val="18"/>
                <w:szCs w:val="18"/>
              </w:rPr>
              <w:t>组员</w:t>
            </w:r>
          </w:p>
        </w:tc>
        <w:tc>
          <w:tcPr>
            <w:tcW w:w="1216" w:type="dxa"/>
            <w:vAlign w:val="center"/>
          </w:tcPr>
          <w:p>
            <w:pPr>
              <w:spacing w:line="240" w:lineRule="exact"/>
              <w:jc w:val="center"/>
              <w:rPr>
                <w:rFonts w:hint="eastAsia"/>
                <w:sz w:val="18"/>
                <w:szCs w:val="18"/>
              </w:rPr>
            </w:pPr>
            <w:r>
              <w:rPr>
                <w:rFonts w:hint="eastAsia"/>
                <w:sz w:val="18"/>
                <w:szCs w:val="18"/>
              </w:rPr>
              <w:t>女</w:t>
            </w:r>
          </w:p>
        </w:tc>
        <w:tc>
          <w:tcPr>
            <w:tcW w:w="3478" w:type="dxa"/>
            <w:gridSpan w:val="3"/>
            <w:vAlign w:val="center"/>
          </w:tcPr>
          <w:p>
            <w:pPr>
              <w:spacing w:line="240" w:lineRule="exact"/>
              <w:jc w:val="center"/>
              <w:rPr>
                <w:rFonts w:hint="eastAsia"/>
                <w:sz w:val="18"/>
                <w:szCs w:val="18"/>
              </w:rPr>
            </w:pPr>
            <w:r>
              <w:rPr>
                <w:rFonts w:hint="eastAsia"/>
                <w:sz w:val="18"/>
                <w:szCs w:val="18"/>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sz w:val="18"/>
                <w:szCs w:val="18"/>
              </w:rPr>
            </w:pPr>
            <w:r>
              <w:rPr>
                <w:rFonts w:hint="eastAsia"/>
                <w:sz w:val="18"/>
                <w:szCs w:val="18"/>
              </w:rPr>
              <w:t>潘斯贴</w:t>
            </w:r>
          </w:p>
        </w:tc>
        <w:tc>
          <w:tcPr>
            <w:tcW w:w="992" w:type="dxa"/>
            <w:vAlign w:val="center"/>
          </w:tcPr>
          <w:p>
            <w:pPr>
              <w:spacing w:line="240" w:lineRule="exact"/>
              <w:jc w:val="center"/>
              <w:rPr>
                <w:rFonts w:hint="eastAsia"/>
                <w:sz w:val="18"/>
                <w:szCs w:val="18"/>
              </w:rPr>
            </w:pPr>
            <w:r>
              <w:rPr>
                <w:rFonts w:hint="eastAsia"/>
                <w:sz w:val="18"/>
                <w:szCs w:val="18"/>
              </w:rPr>
              <w:t>组员</w:t>
            </w:r>
          </w:p>
        </w:tc>
        <w:tc>
          <w:tcPr>
            <w:tcW w:w="1216" w:type="dxa"/>
            <w:vAlign w:val="center"/>
          </w:tcPr>
          <w:p>
            <w:pPr>
              <w:spacing w:line="240" w:lineRule="exact"/>
              <w:jc w:val="center"/>
              <w:rPr>
                <w:rFonts w:hint="eastAsia"/>
                <w:sz w:val="18"/>
                <w:szCs w:val="18"/>
              </w:rPr>
            </w:pPr>
            <w:r>
              <w:rPr>
                <w:rFonts w:hint="eastAsia"/>
                <w:sz w:val="18"/>
                <w:szCs w:val="18"/>
              </w:rPr>
              <w:t>女</w:t>
            </w:r>
          </w:p>
        </w:tc>
        <w:tc>
          <w:tcPr>
            <w:tcW w:w="3478" w:type="dxa"/>
            <w:gridSpan w:val="3"/>
            <w:vAlign w:val="center"/>
          </w:tcPr>
          <w:p>
            <w:pPr>
              <w:spacing w:line="240" w:lineRule="exact"/>
              <w:jc w:val="center"/>
              <w:rPr>
                <w:rFonts w:hint="eastAsia"/>
                <w:sz w:val="18"/>
                <w:szCs w:val="18"/>
              </w:rPr>
            </w:pPr>
            <w:r>
              <w:rPr>
                <w:rFonts w:hint="eastAsia"/>
                <w:sz w:val="18"/>
                <w:szCs w:val="18"/>
              </w:rPr>
              <w:t>专家</w:t>
            </w:r>
          </w:p>
        </w:tc>
        <w:tc>
          <w:tcPr>
            <w:tcW w:w="2333" w:type="dxa"/>
            <w:gridSpan w:val="2"/>
            <w:vAlign w:val="center"/>
          </w:tcPr>
          <w:p>
            <w:pPr>
              <w:spacing w:line="240" w:lineRule="exact"/>
              <w:jc w:val="center"/>
              <w:rPr>
                <w:rFonts w:hint="eastAsia"/>
                <w:sz w:val="18"/>
                <w:szCs w:val="18"/>
              </w:rPr>
            </w:pPr>
            <w:r>
              <w:rPr>
                <w:rFonts w:hint="eastAsia"/>
                <w:sz w:val="18"/>
                <w:szCs w:val="18"/>
              </w:rPr>
              <w:t>2.10</w:t>
            </w:r>
          </w:p>
        </w:tc>
      </w:tr>
    </w:tbl>
    <w:p/>
    <w:p>
      <w:pPr>
        <w:rPr>
          <w:rFonts w:hint="eastAsia"/>
        </w:rPr>
      </w:pPr>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3"/>
        </w:numPr>
      </w:pPr>
      <w:r>
        <w:t>审核发现</w:t>
      </w:r>
      <w:r>
        <w:rPr>
          <w:rFonts w:hint="eastAsia"/>
        </w:rPr>
        <w:t xml:space="preserve">（见 □QMS □EcMS □EMS □OHSMS </w:t>
      </w:r>
      <w:r>
        <w:rPr>
          <w:rFonts w:hint="eastAsia"/>
          <w:highlight w:val="yellow"/>
          <w:lang w:eastAsia="zh-CN"/>
        </w:rPr>
        <w:t>☑</w:t>
      </w:r>
      <w:r>
        <w:rPr>
          <w:rFonts w:hint="eastAsia"/>
          <w:highlight w:val="yellow"/>
        </w:rPr>
        <w:t>EnMS</w:t>
      </w:r>
      <w:r>
        <w:rPr>
          <w:rFonts w:hint="eastAsia"/>
        </w:rPr>
        <w:t>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pPr>
              <w:rPr>
                <w:rFonts w:hint="default" w:eastAsia="宋体"/>
                <w:lang w:val="en-US" w:eastAsia="zh-CN"/>
              </w:rPr>
            </w:pPr>
            <w:r>
              <w:rPr>
                <w:sz w:val="20"/>
              </w:rPr>
              <w:t>吸塑产品、注塑产品、压铸产品、围板产品、中空板、蜂窝板产品的设计、生产和销售</w:t>
            </w:r>
            <w:r>
              <w:rPr>
                <w:rFonts w:hint="eastAsia"/>
                <w:sz w:val="20"/>
                <w:lang w:val="en-US" w:eastAsia="zh-CN"/>
              </w:rPr>
              <w:t>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60288" behindDoc="0" locked="0" layoutInCell="1" allowOverlap="1">
                  <wp:simplePos x="0" y="0"/>
                  <wp:positionH relativeFrom="column">
                    <wp:posOffset>406400</wp:posOffset>
                  </wp:positionH>
                  <wp:positionV relativeFrom="page">
                    <wp:posOffset>16510</wp:posOffset>
                  </wp:positionV>
                  <wp:extent cx="570230" cy="435610"/>
                  <wp:effectExtent l="0" t="0" r="1270" b="8890"/>
                  <wp:wrapSquare wrapText="bothSides"/>
                  <wp:docPr id="3"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53999692(1)"/>
                          <pic:cNvPicPr>
                            <a:picLocks noChangeAspect="1"/>
                          </pic:cNvPicPr>
                        </pic:nvPicPr>
                        <pic:blipFill>
                          <a:blip r:embed="rId6">
                            <a:lum bright="35999"/>
                          </a:blip>
                          <a:stretch>
                            <a:fillRect/>
                          </a:stretch>
                        </pic:blipFill>
                        <pic:spPr>
                          <a:xfrm>
                            <a:off x="0" y="0"/>
                            <a:ext cx="570230" cy="435610"/>
                          </a:xfrm>
                          <a:prstGeom prst="rect">
                            <a:avLst/>
                          </a:prstGeom>
                          <a:noFill/>
                          <a:ln>
                            <a:noFill/>
                          </a:ln>
                        </pic:spPr>
                      </pic:pic>
                    </a:graphicData>
                  </a:graphic>
                </wp:anchor>
              </w:drawing>
            </w:r>
          </w:p>
        </w:tc>
        <w:tc>
          <w:tcPr>
            <w:tcW w:w="2835" w:type="dxa"/>
            <w:shd w:val="clear" w:color="auto" w:fill="auto"/>
          </w:tcPr>
          <w:p>
            <w:r>
              <w:rPr>
                <w:rFonts w:hint="eastAsia"/>
              </w:rPr>
              <w:t>日期</w:t>
            </w:r>
          </w:p>
        </w:tc>
        <w:tc>
          <w:tcPr>
            <w:tcW w:w="2836" w:type="dxa"/>
            <w:shd w:val="clear" w:color="auto" w:fill="auto"/>
          </w:tcPr>
          <w:p>
            <w:pPr>
              <w:rPr>
                <w:rFonts w:hint="default" w:eastAsia="宋体"/>
                <w:lang w:val="en-US" w:eastAsia="zh-CN"/>
              </w:rPr>
            </w:pPr>
            <w:r>
              <w:rPr>
                <w:rFonts w:hint="eastAsia"/>
                <w:lang w:val="en-US" w:eastAsia="zh-CN"/>
              </w:rPr>
              <w:t>2021.6..15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yellow"/>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pacing w:before="40" w:after="40"/>
        <w:rPr>
          <w:rFonts w:eastAsia="微软雅黑"/>
        </w:rPr>
      </w:pPr>
    </w:p>
    <w:p>
      <w:pPr>
        <w:shd w:val="clear" w:color="auto" w:fill="EBF1DE" w:themeFill="accent3" w:themeFillTint="32"/>
        <w:rPr>
          <w:highlight w:val="yellow"/>
        </w:rPr>
      </w:pPr>
      <w:r>
        <w:rPr>
          <w:highlight w:val="yellow"/>
        </w:rPr>
        <w:t>附件 ISO</w:t>
      </w:r>
      <w:r>
        <w:rPr>
          <w:rFonts w:hint="eastAsia"/>
          <w:highlight w:val="yellow"/>
        </w:rPr>
        <w:t xml:space="preserve"> 50</w:t>
      </w:r>
      <w:r>
        <w:rPr>
          <w:highlight w:val="yellow"/>
        </w:rPr>
        <w:t>001:201</w:t>
      </w:r>
      <w:r>
        <w:rPr>
          <w:rFonts w:hint="eastAsia"/>
          <w:highlight w:val="yellow"/>
        </w:rPr>
        <w:t>8</w:t>
      </w:r>
      <w:r>
        <w:rPr>
          <w:highlight w:val="yellow"/>
        </w:rPr>
        <w:t xml:space="preserve"> (若不是ISO</w:t>
      </w:r>
      <w:r>
        <w:rPr>
          <w:rFonts w:hint="eastAsia"/>
          <w:highlight w:val="yellow"/>
        </w:rPr>
        <w:t>50</w:t>
      </w:r>
      <w:r>
        <w:rPr>
          <w:highlight w:val="yellow"/>
        </w:rPr>
        <w:t>001:201</w:t>
      </w:r>
      <w:r>
        <w:rPr>
          <w:rFonts w:hint="eastAsia"/>
          <w:highlight w:val="yellow"/>
        </w:rPr>
        <w:t>8</w:t>
      </w:r>
      <w:r>
        <w:rPr>
          <w:highlight w:val="yellow"/>
        </w:rP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w:t>
                  </w:r>
                  <w:r>
                    <w:rPr>
                      <w:rFonts w:hint="eastAsia"/>
                      <w:highlight w:val="yellow"/>
                      <w:lang w:eastAsia="zh-CN"/>
                    </w:rPr>
                    <w:t>☑</w:t>
                  </w:r>
                  <w:r>
                    <w:rPr>
                      <w:rFonts w:hint="eastAsia"/>
                      <w:highlight w:val="yellow"/>
                    </w:rPr>
                    <w:t xml:space="preserve">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社会 </w:t>
                  </w:r>
                  <w:r>
                    <w:rPr>
                      <w:rFonts w:hint="eastAsia"/>
                      <w:highlight w:val="yellow"/>
                      <w:lang w:eastAsia="zh-CN"/>
                    </w:rPr>
                    <w:t>☑</w:t>
                  </w:r>
                  <w:r>
                    <w:rPr>
                      <w:rFonts w:hint="eastAsia"/>
                      <w:highlight w:val="yellow"/>
                    </w:rPr>
                    <w:t xml:space="preserve">经济环境 </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政治 </w:t>
                  </w:r>
                  <w:r>
                    <w:rPr>
                      <w:rFonts w:hint="eastAsia"/>
                      <w:highlight w:val="yellow"/>
                      <w:lang w:eastAsia="zh-CN"/>
                    </w:rPr>
                    <w:t>☑</w:t>
                  </w:r>
                  <w:r>
                    <w:rPr>
                      <w:rFonts w:hint="eastAsia"/>
                      <w:highlight w:val="yellow"/>
                    </w:rPr>
                    <w:t xml:space="preserve">监管  </w:t>
                  </w:r>
                  <w:r>
                    <w:rPr>
                      <w:rFonts w:hint="eastAsia"/>
                      <w:highlight w:val="yellow"/>
                      <w:lang w:eastAsia="zh-CN"/>
                    </w:rPr>
                    <w:t>☑</w:t>
                  </w:r>
                  <w:r>
                    <w:rPr>
                      <w:rFonts w:hint="eastAsia"/>
                      <w:highlight w:val="yellow"/>
                    </w:rPr>
                    <w:t xml:space="preserve">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w:t>
                  </w:r>
                  <w:r>
                    <w:rPr>
                      <w:rFonts w:hint="eastAsia"/>
                      <w:highlight w:val="yellow"/>
                      <w:lang w:eastAsia="zh-CN"/>
                    </w:rPr>
                    <w:t>☑</w:t>
                  </w:r>
                  <w:r>
                    <w:rPr>
                      <w:rFonts w:hint="eastAsia"/>
                      <w:highlight w:val="yellow"/>
                    </w:rPr>
                    <w:t xml:space="preserve">工艺 </w:t>
                  </w:r>
                  <w:r>
                    <w:rPr>
                      <w:rFonts w:hint="eastAsia"/>
                      <w:highlight w:val="yellow"/>
                      <w:lang w:eastAsia="zh-CN"/>
                    </w:rPr>
                    <w:t>☑</w:t>
                  </w:r>
                  <w:r>
                    <w:rPr>
                      <w:rFonts w:hint="eastAsia"/>
                      <w:highlight w:val="yellow"/>
                    </w:rPr>
                    <w:t xml:space="preserve">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rFonts w:hint="eastAsia"/>
                      <w:highlight w:val="yellow"/>
                      <w:lang w:eastAsia="zh-CN"/>
                    </w:rPr>
                    <w:t>☑</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人力资源</w:t>
            </w:r>
            <w:r>
              <w:rPr>
                <w:rFonts w:hint="eastAsia"/>
                <w:highlight w:val="yellow"/>
                <w:lang w:eastAsia="zh-CN"/>
              </w:rPr>
              <w:t>☑</w:t>
            </w:r>
            <w:r>
              <w:rPr>
                <w:rFonts w:hint="eastAsia"/>
                <w:highlight w:val="yellow"/>
              </w:rPr>
              <w:t xml:space="preserve">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□满足限额要求 </w:t>
            </w:r>
            <w:r>
              <w:rPr>
                <w:rFonts w:hint="eastAsia"/>
                <w:highlight w:val="yellow"/>
                <w:lang w:eastAsia="zh-CN"/>
              </w:rPr>
              <w:t>☑</w:t>
            </w:r>
            <w:r>
              <w:rPr>
                <w:rFonts w:hint="eastAsia"/>
                <w:highlight w:val="yellow"/>
              </w:rPr>
              <w:t xml:space="preserve">主要用能设备管理  </w:t>
            </w:r>
            <w:r>
              <w:rPr>
                <w:rFonts w:hint="eastAsia"/>
                <w:highlight w:val="cyan"/>
                <w:lang w:eastAsia="zh-CN"/>
              </w:rPr>
              <w:t>☑</w:t>
            </w:r>
            <w:r>
              <w:rPr>
                <w:rFonts w:hint="eastAsia"/>
                <w:highlight w:val="cyan"/>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□生产/服务过程 □能效监测 □设备维修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adjustRightInd/>
              <w:snapToGrid/>
              <w:spacing w:line="336" w:lineRule="auto"/>
              <w:ind w:right="0" w:rightChars="0"/>
              <w:jc w:val="left"/>
              <w:textAlignment w:val="auto"/>
              <w:rPr>
                <w:rFonts w:hint="eastAsia" w:ascii="Times New Roman" w:hAnsi="Times New Roman" w:eastAsia="宋体" w:cs="Times New Roman"/>
                <w:highlight w:val="yellow"/>
                <w:u w:val="single"/>
                <w:lang w:val="en-US" w:eastAsia="zh-CN"/>
              </w:rPr>
            </w:pPr>
            <w:r>
              <w:rPr>
                <w:rFonts w:hint="eastAsia"/>
                <w:highlight w:val="yellow"/>
              </w:rPr>
              <w:t>最高管理者制定了文件化的管理体系方针：</w:t>
            </w:r>
            <w:r>
              <w:rPr>
                <w:rFonts w:hint="eastAsia"/>
                <w:highlight w:val="yellow"/>
                <w:u w:val="single"/>
              </w:rPr>
              <w:t xml:space="preserve">  </w:t>
            </w:r>
            <w:r>
              <w:rPr>
                <w:rFonts w:hint="eastAsia" w:ascii="Times New Roman" w:hAnsi="Times New Roman" w:eastAsia="宋体" w:cs="Times New Roman"/>
                <w:highlight w:val="yellow"/>
                <w:u w:val="single"/>
                <w:lang w:val="en-US" w:eastAsia="zh-CN"/>
              </w:rPr>
              <w:t>“清洁生产，管理高效，加强监测，守法创新。”</w:t>
            </w:r>
          </w:p>
          <w:p>
            <w:pPr>
              <w:shd w:val="clear" w:color="auto" w:fill="EBF1DE" w:themeFill="accent3" w:themeFillTint="32"/>
              <w:rPr>
                <w:highlight w:val="yellow"/>
                <w:u w:val="single"/>
              </w:rPr>
            </w:pP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default"/>
                <w:highlight w:val="cyan"/>
                <w:lang w:val="en-US"/>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rPr>
              <w:t>□</w:t>
            </w:r>
          </w:p>
          <w:p>
            <w:pPr>
              <w:shd w:val="clear" w:color="auto" w:fill="EBF1DE" w:themeFill="accent3" w:themeFillTint="32"/>
              <w:rPr>
                <w:rFonts w:hint="default"/>
                <w:highlight w:val="yellow"/>
                <w:lang w:val="en-US"/>
              </w:rPr>
            </w:pPr>
            <w:r>
              <w:rPr>
                <w:rFonts w:hint="eastAsia"/>
                <w:highlight w:val="cyan"/>
                <w:lang w:val="en-US" w:eastAsia="zh-CN"/>
              </w:rPr>
              <w:t>能源管理团队负责人（管理者代表）是——罗殷豪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highlight w:val="yellow"/>
                    </w:rPr>
                  </w:pPr>
                  <w:r>
                    <w:rPr>
                      <w:rFonts w:hint="eastAsia" w:ascii="Times New Roman" w:hAnsi="Times New Roman" w:eastAsia="宋体" w:cs="Times New Roman"/>
                      <w:color w:val="auto"/>
                      <w:kern w:val="2"/>
                      <w:sz w:val="21"/>
                      <w:szCs w:val="24"/>
                      <w:highlight w:val="none"/>
                      <w:vertAlign w:val="baseline"/>
                      <w:lang w:val="en-US" w:eastAsia="zh-CN" w:bidi="ar-SA"/>
                    </w:rPr>
                    <w:t>加强火源管理，可能导致的泄漏火灾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highlight w:val="yellow"/>
                    </w:rPr>
                  </w:pPr>
                  <w:r>
                    <w:rPr>
                      <w:rFonts w:hint="eastAsia" w:ascii="Times New Roman" w:hAnsi="Times New Roman" w:eastAsia="宋体" w:cs="Times New Roman"/>
                      <w:color w:val="auto"/>
                      <w:kern w:val="2"/>
                      <w:sz w:val="21"/>
                      <w:szCs w:val="24"/>
                      <w:highlight w:val="none"/>
                      <w:vertAlign w:val="baseline"/>
                      <w:lang w:val="en-US" w:eastAsia="zh-CN" w:bidi="ar-SA"/>
                    </w:rPr>
                    <w:t>专人管理、配备防泄漏容器、消防设备</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highlight w:val="yellow"/>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highlight w:val="yellow"/>
                    </w:rPr>
                  </w:pPr>
                  <w:r>
                    <w:rPr>
                      <w:rFonts w:hint="eastAsia" w:cs="Times New Roman"/>
                      <w:color w:val="auto"/>
                      <w:kern w:val="2"/>
                      <w:sz w:val="21"/>
                      <w:szCs w:val="24"/>
                      <w:highlight w:val="none"/>
                      <w:vertAlign w:val="baseline"/>
                      <w:lang w:val="en-US" w:eastAsia="zh-CN" w:bidi="ar-SA"/>
                    </w:rPr>
                    <w:t>消防安全风险</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highlight w:val="yellow"/>
                    </w:rPr>
                  </w:pPr>
                  <w:r>
                    <w:rPr>
                      <w:rFonts w:hint="eastAsia" w:ascii="Times New Roman" w:hAnsi="Times New Roman" w:eastAsia="宋体" w:cs="Times New Roman"/>
                      <w:color w:val="auto"/>
                      <w:kern w:val="2"/>
                      <w:sz w:val="21"/>
                      <w:highlight w:val="none"/>
                      <w:vertAlign w:val="baseline"/>
                      <w:lang w:val="en-US" w:eastAsia="zh-CN" w:bidi="ar-SA"/>
                    </w:rPr>
                    <w:t>定期进行消防安全培训及安全演练、配备消防设备、建立消防安全疏散通道</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highlight w:val="yellow"/>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 xml:space="preserve">□蒸汽 □天然气 </w:t>
            </w:r>
            <w:r>
              <w:rPr>
                <w:rFonts w:hint="eastAsia"/>
                <w:highlight w:val="yellow"/>
                <w:lang w:eastAsia="zh-CN"/>
              </w:rPr>
              <w:t>☑</w:t>
            </w:r>
            <w:r>
              <w:rPr>
                <w:rFonts w:hint="eastAsia"/>
                <w:highlight w:val="yellow"/>
              </w:rPr>
              <w:t xml:space="preserve">燃料油  □燃料气 </w:t>
            </w:r>
            <w:r>
              <w:rPr>
                <w:rFonts w:hint="eastAsia"/>
                <w:highlight w:val="yellow"/>
                <w:lang w:eastAsia="zh-CN"/>
              </w:rPr>
              <w:t>☑</w:t>
            </w:r>
            <w:r>
              <w:rPr>
                <w:rFonts w:hint="eastAsia"/>
                <w:highlight w:val="yellow"/>
              </w:rPr>
              <w:t xml:space="preserve">电力  □氮气 □风  □新鲜水 </w:t>
            </w:r>
            <w:r>
              <w:rPr>
                <w:rFonts w:hint="eastAsia"/>
                <w:highlight w:val="yellow"/>
                <w:lang w:eastAsia="zh-CN"/>
              </w:rPr>
              <w:t>☑</w:t>
            </w:r>
            <w:r>
              <w:rPr>
                <w:rFonts w:hint="eastAsia"/>
                <w:highlight w:val="yellow"/>
              </w:rPr>
              <w:t>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lang w:eastAsia="zh-CN"/>
              </w:rPr>
              <w:t>☑</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2021年1月10日</w:t>
            </w:r>
            <w:r>
              <w:rPr>
                <w:rFonts w:hint="eastAsia"/>
                <w:highlight w:val="yellow"/>
              </w:rPr>
              <w:t xml:space="preserve">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w:t>
            </w:r>
            <w:r>
              <w:rPr>
                <w:rFonts w:hint="eastAsia"/>
                <w:highlight w:val="yellow"/>
                <w:lang w:eastAsia="zh-CN"/>
              </w:rPr>
              <w:t>☑</w:t>
            </w:r>
            <w:r>
              <w:rPr>
                <w:rFonts w:hint="eastAsia"/>
                <w:highlight w:val="yellow"/>
              </w:rPr>
              <w:t xml:space="preserve">能源计量管理  </w:t>
            </w:r>
            <w:r>
              <w:rPr>
                <w:rFonts w:hint="eastAsia"/>
                <w:highlight w:val="yellow"/>
                <w:lang w:eastAsia="zh-CN"/>
              </w:rPr>
              <w:t>☑</w:t>
            </w:r>
            <w:r>
              <w:rPr>
                <w:rFonts w:hint="eastAsia"/>
                <w:highlight w:val="yellow"/>
              </w:rPr>
              <w:t xml:space="preserve">使用节能设备  </w:t>
            </w:r>
            <w:r>
              <w:rPr>
                <w:rFonts w:hint="eastAsia"/>
                <w:highlight w:val="yellow"/>
                <w:lang w:eastAsia="zh-CN"/>
              </w:rPr>
              <w:t>☑</w:t>
            </w:r>
            <w:r>
              <w:rPr>
                <w:rFonts w:hint="eastAsia"/>
                <w:highlight w:val="yellow"/>
              </w:rPr>
              <w:t xml:space="preserve">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556"/>
              <w:gridCol w:w="1061"/>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2556"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061"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2415"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cs="Times New Roman"/>
                      <w:szCs w:val="22"/>
                      <w:lang w:val="en-US" w:eastAsia="zh-CN"/>
                    </w:rPr>
                  </w:pPr>
                  <w:r>
                    <w:rPr>
                      <w:rFonts w:hint="eastAsia" w:ascii="Times New Roman" w:hAnsi="Times New Roman" w:cs="Times New Roman"/>
                      <w:szCs w:val="22"/>
                      <w:lang w:val="en-US" w:eastAsia="zh-CN"/>
                    </w:rPr>
                    <w:t>公司</w:t>
                  </w:r>
                  <w:r>
                    <w:rPr>
                      <w:rFonts w:hint="eastAsia" w:cs="Times New Roman"/>
                      <w:szCs w:val="22"/>
                      <w:lang w:val="en-US" w:eastAsia="zh-CN"/>
                    </w:rPr>
                    <w:t>的能耗指标：2020年度总用电650（万</w:t>
                  </w:r>
                  <w:r>
                    <w:rPr>
                      <w:rFonts w:hint="eastAsia" w:ascii="Times New Roman" w:hAnsi="Times New Roman"/>
                      <w:sz w:val="18"/>
                      <w:szCs w:val="18"/>
                    </w:rPr>
                    <w:t>Kw.h</w:t>
                  </w:r>
                  <w:r>
                    <w:rPr>
                      <w:rFonts w:hint="eastAsia" w:cs="Times New Roman"/>
                      <w:szCs w:val="22"/>
                      <w:lang w:val="en-US" w:eastAsia="zh-CN"/>
                    </w:rPr>
                    <w:t>）</w:t>
                  </w:r>
                  <w:r>
                    <w:rPr>
                      <w:rFonts w:hint="eastAsia"/>
                      <w:sz w:val="18"/>
                      <w:szCs w:val="18"/>
                      <w:lang w:eastAsia="zh-CN"/>
                    </w:rPr>
                    <w:t>，</w:t>
                  </w:r>
                  <w:r>
                    <w:rPr>
                      <w:rFonts w:hint="eastAsia" w:cs="Times New Roman"/>
                      <w:szCs w:val="22"/>
                      <w:lang w:val="en-US" w:eastAsia="zh-CN"/>
                    </w:rPr>
                    <w:t>单位产品综合电耗11.13（Kw.h/个）（后壁吸塑产品）；</w:t>
                  </w:r>
                </w:p>
                <w:p>
                  <w:pPr>
                    <w:shd w:val="clear" w:color="auto" w:fill="EBF1DE" w:themeFill="accent3" w:themeFillTint="32"/>
                    <w:rPr>
                      <w:highlight w:val="yellow"/>
                    </w:rPr>
                  </w:pPr>
                </w:p>
              </w:tc>
              <w:tc>
                <w:tcPr>
                  <w:tcW w:w="2556"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加强能源使用管理；</w:t>
                  </w:r>
                </w:p>
                <w:p>
                  <w:pPr>
                    <w:pStyle w:val="2"/>
                    <w:ind w:left="0" w:leftChars="0" w:firstLine="0" w:firstLineChars="0"/>
                    <w:rPr>
                      <w:rFonts w:hint="eastAsia" w:ascii="宋体" w:hAnsi="宋体"/>
                      <w:highlight w:val="none"/>
                      <w:lang w:val="en-US" w:eastAsia="zh-CN"/>
                    </w:rPr>
                  </w:pPr>
                  <w:r>
                    <w:rPr>
                      <w:rFonts w:hint="eastAsia" w:ascii="宋体" w:hAnsi="宋体"/>
                      <w:highlight w:val="none"/>
                      <w:lang w:val="en-US" w:eastAsia="zh-CN"/>
                    </w:rPr>
                    <w:t>降低能源浪费，回收利用；</w:t>
                  </w:r>
                </w:p>
                <w:p>
                  <w:pPr>
                    <w:pStyle w:val="2"/>
                    <w:ind w:left="0" w:leftChars="0" w:firstLine="0" w:firstLineChars="0"/>
                    <w:rPr>
                      <w:rFonts w:hint="default" w:ascii="宋体" w:hAnsi="宋体"/>
                      <w:highlight w:val="none"/>
                      <w:lang w:val="en-US" w:eastAsia="zh-CN"/>
                    </w:rPr>
                  </w:pPr>
                  <w:r>
                    <w:rPr>
                      <w:rFonts w:hint="eastAsia" w:ascii="宋体" w:hAnsi="宋体"/>
                      <w:highlight w:val="none"/>
                      <w:lang w:val="en-US" w:eastAsia="zh-CN"/>
                    </w:rPr>
                    <w:t>平时注意节电、节油。</w:t>
                  </w:r>
                </w:p>
              </w:tc>
              <w:tc>
                <w:tcPr>
                  <w:tcW w:w="1061" w:type="dxa"/>
                  <w:shd w:val="clear" w:color="auto" w:fill="auto"/>
                  <w:vAlign w:val="center"/>
                </w:tcPr>
                <w:p>
                  <w:pPr>
                    <w:shd w:val="clear" w:color="auto" w:fill="EBF1DE" w:themeFill="accent3" w:themeFillTint="32"/>
                    <w:rPr>
                      <w:highlight w:val="yellow"/>
                      <w:lang w:val="en-GB"/>
                    </w:rPr>
                  </w:pPr>
                </w:p>
              </w:tc>
              <w:tc>
                <w:tcPr>
                  <w:tcW w:w="2415" w:type="dxa"/>
                  <w:shd w:val="clear" w:color="auto" w:fill="auto"/>
                  <w:vAlign w:val="center"/>
                </w:tcPr>
                <w:p>
                  <w:pPr>
                    <w:shd w:val="clear" w:color="auto" w:fill="EBF1DE" w:themeFill="accent3" w:themeFillTint="32"/>
                    <w:jc w:val="center"/>
                    <w:rPr>
                      <w:rFonts w:hint="eastAsia" w:cs="Times New Roman"/>
                      <w:szCs w:val="22"/>
                      <w:lang w:val="en-US" w:eastAsia="zh-CN"/>
                    </w:rPr>
                  </w:pPr>
                  <w:r>
                    <w:rPr>
                      <w:rFonts w:hint="eastAsia" w:cs="Times New Roman"/>
                      <w:szCs w:val="22"/>
                      <w:lang w:val="en-US" w:eastAsia="zh-CN"/>
                    </w:rPr>
                    <w:t>2020年实际完成情况：总电量643.5044（万Kw.h），2020年产品量：583407个，单位产品综合电耗11.03（Kw.h/个）；</w:t>
                  </w:r>
                </w:p>
                <w:p>
                  <w:pPr>
                    <w:shd w:val="clear" w:color="auto" w:fill="EBF1DE" w:themeFill="accent3" w:themeFillTint="32"/>
                    <w:jc w:val="center"/>
                    <w:rPr>
                      <w:rFonts w:ascii="宋体" w:hAnsi="宋体"/>
                      <w:highlight w:val="yellow"/>
                      <w:lang w:val="en-GB"/>
                    </w:rPr>
                  </w:pPr>
                  <w:r>
                    <w:rPr>
                      <w:rFonts w:hint="eastAsia" w:cs="Times New Roman"/>
                      <w:szCs w:val="22"/>
                      <w:lang w:val="en-US" w:eastAsia="zh-CN"/>
                    </w:rPr>
                    <w:t>已完成。</w:t>
                  </w:r>
                </w:p>
              </w:tc>
            </w:tr>
          </w:tbl>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FE"/>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FE"/>
            </w:r>
            <w:r>
              <w:rPr>
                <w:rFonts w:hint="eastAsia"/>
                <w:highlight w:val="yellow"/>
              </w:rPr>
              <w:t xml:space="preserve">技术  </w:t>
            </w:r>
            <w:r>
              <w:rPr>
                <w:rFonts w:hint="eastAsia"/>
                <w:highlight w:val="yellow"/>
              </w:rPr>
              <w:sym w:font="Wingdings" w:char="00FE"/>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highlight w:val="yellow"/>
                <w:u w:val="single"/>
              </w:rPr>
              <w:t xml:space="preserve">  </w:t>
            </w:r>
            <w:r>
              <w:rPr>
                <w:rFonts w:hint="eastAsia"/>
                <w:highlight w:val="yellow"/>
                <w:u w:val="single"/>
                <w:lang w:val="en-US" w:eastAsia="zh-CN"/>
              </w:rPr>
              <w:t>68000</w:t>
            </w:r>
            <w:r>
              <w:rPr>
                <w:rFonts w:hint="eastAsia"/>
                <w:highlight w:val="yellow"/>
                <w:u w:val="single"/>
              </w:rPr>
              <w:t xml:space="preserve">    </w:t>
            </w:r>
            <w:r>
              <w:rPr>
                <w:rFonts w:hint="eastAsia"/>
                <w:highlight w:val="yellow"/>
              </w:rPr>
              <w:t>平方米；生产车间</w:t>
            </w:r>
            <w:r>
              <w:rPr>
                <w:rFonts w:hint="eastAsia"/>
                <w:highlight w:val="yellow"/>
                <w:u w:val="single"/>
              </w:rPr>
              <w:t xml:space="preserve"> </w:t>
            </w:r>
            <w:r>
              <w:rPr>
                <w:rFonts w:hint="eastAsia"/>
                <w:highlight w:val="yellow"/>
                <w:u w:val="single"/>
                <w:lang w:val="en-US" w:eastAsia="zh-CN"/>
              </w:rPr>
              <w:t>3</w:t>
            </w:r>
            <w:r>
              <w:rPr>
                <w:rFonts w:hint="eastAsia"/>
                <w:highlight w:val="yellow"/>
                <w:u w:val="single"/>
              </w:rPr>
              <w:t xml:space="preserve"> </w:t>
            </w:r>
            <w:r>
              <w:rPr>
                <w:rFonts w:hint="eastAsia"/>
                <w:highlight w:val="yellow"/>
              </w:rPr>
              <w:t>个；库房</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个；实验室</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w:t>
            </w:r>
            <w:r>
              <w:rPr>
                <w:rFonts w:hint="eastAsia"/>
                <w:highlight w:val="yellow"/>
                <w:u w:val="single"/>
                <w:lang w:val="en-US" w:eastAsia="zh-CN"/>
              </w:rPr>
              <w:t>注塑机、热压机、吸塑机</w:t>
            </w:r>
            <w:r>
              <w:rPr>
                <w:rFonts w:hint="eastAsia"/>
                <w:highlight w:val="yellow"/>
                <w:u w:val="single"/>
              </w:rPr>
              <w:t>（列举2~4种）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w:t>
            </w:r>
            <w:r>
              <w:rPr>
                <w:rFonts w:hint="eastAsia"/>
                <w:highlight w:val="yellow"/>
                <w:u w:val="single"/>
                <w:lang w:val="en-US" w:eastAsia="zh-CN"/>
              </w:rPr>
              <w:t>注塑机、热压机、吸塑机</w:t>
            </w:r>
            <w:r>
              <w:rPr>
                <w:rFonts w:hint="eastAsia"/>
                <w:highlight w:val="yellow"/>
                <w:u w:val="single"/>
              </w:rPr>
              <w:t xml:space="preserve">  （列举2~4种）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FE"/>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FE"/>
            </w:r>
            <w:r>
              <w:rPr>
                <w:rFonts w:hint="eastAsia"/>
                <w:highlight w:val="yellow"/>
              </w:rPr>
              <w:t xml:space="preserve">高压配电室 </w:t>
            </w:r>
            <w:r>
              <w:rPr>
                <w:rFonts w:hint="eastAsia"/>
                <w:highlight w:val="yellow"/>
              </w:rPr>
              <w:sym w:font="Wingdings" w:char="00FE"/>
            </w:r>
            <w:r>
              <w:rPr>
                <w:rFonts w:hint="eastAsia"/>
                <w:highlight w:val="yellow"/>
              </w:rPr>
              <w:t xml:space="preserve">低压配电室 </w:t>
            </w:r>
            <w:r>
              <w:rPr>
                <w:rFonts w:hint="eastAsia"/>
                <w:highlight w:val="yellow"/>
              </w:rPr>
              <w:sym w:font="Wingdings" w:char="00FE"/>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A8"/>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rFonts w:hint="eastAsia" w:eastAsia="宋体"/>
                <w:highlight w:val="yellow"/>
                <w:u w:val="single"/>
                <w:lang w:eastAsia="zh-CN"/>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电表、水表</w:t>
            </w:r>
            <w:r>
              <w:rPr>
                <w:rFonts w:hint="eastAsia"/>
                <w:highlight w:val="yellow"/>
                <w:u w:val="single"/>
              </w:rPr>
              <w:t xml:space="preserve"> （列举1~4种）</w:t>
            </w:r>
            <w:r>
              <w:rPr>
                <w:rFonts w:hint="eastAsia"/>
                <w:highlight w:val="yellow"/>
                <w:u w:val="single"/>
                <w:lang w:eastAsia="zh-CN"/>
              </w:rPr>
              <w:t>（</w:t>
            </w:r>
            <w:r>
              <w:rPr>
                <w:rFonts w:hint="eastAsia"/>
                <w:highlight w:val="yellow"/>
                <w:u w:val="single"/>
                <w:lang w:val="en-US" w:eastAsia="zh-CN"/>
              </w:rPr>
              <w:t>电表和水表分别由供电公司和供水公司负责校检</w:t>
            </w:r>
            <w:r>
              <w:rPr>
                <w:rFonts w:hint="eastAsia"/>
                <w:highlight w:val="yellow"/>
                <w:u w:val="single"/>
                <w:lang w:eastAsia="zh-CN"/>
              </w:rPr>
              <w:t>）</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A8"/>
            </w:r>
            <w:r>
              <w:rPr>
                <w:rFonts w:hint="eastAsia"/>
                <w:highlight w:val="yellow"/>
              </w:rPr>
              <w:t xml:space="preserve">未进行定期校准/检定的有： </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A8"/>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w:t>
            </w:r>
            <w:r>
              <w:rPr>
                <w:rFonts w:hint="eastAsia"/>
                <w:highlight w:val="yellow"/>
                <w:lang w:eastAsia="zh-CN"/>
              </w:rPr>
              <w:t>☑</w:t>
            </w:r>
            <w:r>
              <w:rPr>
                <w:rFonts w:hint="eastAsia"/>
                <w:highlight w:val="yellow"/>
              </w:rPr>
              <w:t>法律法规获取有遗漏，缺少：</w:t>
            </w:r>
            <w:r>
              <w:rPr>
                <w:rFonts w:hint="eastAsia"/>
                <w:highlight w:val="yellow"/>
                <w:u w:val="single"/>
              </w:rPr>
              <w:t xml:space="preserve"> </w:t>
            </w:r>
            <w:r>
              <w:rPr>
                <w:rFonts w:hint="eastAsia"/>
                <w:highlight w:val="yellow"/>
                <w:u w:val="single"/>
                <w:lang w:val="en-US" w:eastAsia="zh-CN"/>
              </w:rPr>
              <w:t>地方法规（已开不符合项）</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FF0000"/>
                <w:highlight w:val="yellow"/>
              </w:rPr>
            </w:pPr>
            <w:r>
              <w:rPr>
                <w:rFonts w:hint="eastAsia"/>
                <w:color w:val="FF0000"/>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FF0000"/>
                <w:highlight w:val="yellow"/>
              </w:rPr>
              <w:t xml:space="preserve"> </w:t>
            </w:r>
            <w:r>
              <w:rPr>
                <w:rFonts w:hint="eastAsia"/>
                <w:color w:val="FF0000"/>
                <w:highlight w:val="yellow"/>
              </w:rPr>
              <w:sym w:font="Wingdings" w:char="00FE"/>
            </w:r>
            <w:r>
              <w:rPr>
                <w:rFonts w:hint="eastAsia"/>
                <w:color w:val="FF0000"/>
                <w:highlight w:val="yellow"/>
              </w:rPr>
              <w:t xml:space="preserve">操作规程 </w:t>
            </w:r>
            <w:r>
              <w:rPr>
                <w:rFonts w:hint="eastAsia"/>
                <w:color w:val="FF0000"/>
                <w:highlight w:val="yellow"/>
              </w:rPr>
              <w:sym w:font="Wingdings" w:char="00FE"/>
            </w:r>
            <w:r>
              <w:rPr>
                <w:rFonts w:hint="eastAsia"/>
                <w:color w:val="FF0000"/>
                <w:highlight w:val="yellow"/>
              </w:rPr>
              <w:t xml:space="preserve">作业文件  </w:t>
            </w:r>
            <w:r>
              <w:rPr>
                <w:rFonts w:hint="eastAsia"/>
                <w:color w:val="FF0000"/>
                <w:highlight w:val="yellow"/>
              </w:rPr>
              <w:sym w:font="Wingdings" w:char="00FE"/>
            </w:r>
            <w:r>
              <w:rPr>
                <w:rFonts w:hint="eastAsia"/>
                <w:color w:val="FF0000"/>
                <w:highlight w:val="yellow"/>
              </w:rPr>
              <w:t xml:space="preserve">工艺卡片   </w:t>
            </w:r>
            <w:r>
              <w:rPr>
                <w:rFonts w:hint="eastAsia"/>
                <w:color w:val="FF0000"/>
                <w:highlight w:val="yellow"/>
              </w:rPr>
              <w:sym w:font="Wingdings" w:char="00FE"/>
            </w:r>
            <w:r>
              <w:rPr>
                <w:rFonts w:hint="eastAsia"/>
                <w:color w:val="FF0000"/>
                <w:highlight w:val="yellow"/>
              </w:rPr>
              <w:t xml:space="preserve">接收准则  </w:t>
            </w:r>
            <w:r>
              <w:rPr>
                <w:rFonts w:hint="eastAsia"/>
                <w:color w:val="FF0000"/>
                <w:highlight w:val="yellow"/>
              </w:rPr>
              <w:sym w:font="Wingdings" w:char="00FE"/>
            </w:r>
            <w:r>
              <w:rPr>
                <w:rFonts w:hint="eastAsia"/>
                <w:color w:val="FF0000"/>
                <w:highlight w:val="yellow"/>
              </w:rPr>
              <w:t xml:space="preserve">工艺流程图  </w:t>
            </w:r>
            <w:r>
              <w:rPr>
                <w:rFonts w:hint="eastAsia"/>
                <w:color w:val="FF0000"/>
                <w:highlight w:val="yellow"/>
              </w:rPr>
              <w:sym w:font="Wingdings" w:char="00A8"/>
            </w:r>
            <w:r>
              <w:rPr>
                <w:rFonts w:hint="eastAsia"/>
                <w:color w:val="FF0000"/>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u w:val="single"/>
                <w:lang w:val="en-US" w:eastAsia="zh-CN"/>
              </w:rPr>
              <w:t>计划安装屋顶光伏发电系统。</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FE"/>
            </w:r>
            <w:r>
              <w:rPr>
                <w:rFonts w:hint="eastAsia"/>
                <w:highlight w:val="yellow"/>
              </w:rPr>
              <w:t xml:space="preserve">能源采购 </w:t>
            </w:r>
            <w:r>
              <w:rPr>
                <w:rFonts w:hint="eastAsia"/>
                <w:highlight w:val="yellow"/>
              </w:rPr>
              <w:sym w:font="Wingdings" w:char="00FE"/>
            </w:r>
            <w:r>
              <w:rPr>
                <w:rFonts w:hint="eastAsia"/>
                <w:highlight w:val="yellow"/>
              </w:rPr>
              <w:t xml:space="preserve">主要用能设备采购  </w:t>
            </w:r>
            <w:r>
              <w:rPr>
                <w:rFonts w:hint="eastAsia"/>
                <w:highlight w:val="yellow"/>
              </w:rPr>
              <w:sym w:font="Wingdings" w:char="00FE"/>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FE"/>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3665" w:type="dxa"/>
                </w:tcPr>
                <w:p>
                  <w:pPr>
                    <w:shd w:val="clear" w:color="auto" w:fill="EBF1DE" w:themeFill="accent3" w:themeFillTint="32"/>
                    <w:jc w:val="left"/>
                    <w:rPr>
                      <w:highlight w:val="yellow"/>
                    </w:rPr>
                  </w:pPr>
                  <w:r>
                    <w:rPr>
                      <w:rFonts w:hint="eastAsia"/>
                      <w:highlight w:val="yellow"/>
                    </w:rPr>
                    <w:t>控制措施</w:t>
                  </w:r>
                </w:p>
              </w:tc>
              <w:tc>
                <w:tcPr>
                  <w:tcW w:w="3265"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蒸汽消耗</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天然气消耗</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3665" w:type="dxa"/>
                </w:tcPr>
                <w:p>
                  <w:pPr>
                    <w:shd w:val="clear" w:color="auto" w:fill="EBF1DE" w:themeFill="accent3" w:themeFillTint="32"/>
                    <w:jc w:val="left"/>
                    <w:rPr>
                      <w:highlight w:val="yellow"/>
                    </w:rPr>
                  </w:pPr>
                  <w:r>
                    <w:rPr>
                      <w:rFonts w:hint="eastAsia"/>
                      <w:highlight w:val="yellow"/>
                      <w:lang w:val="en-US" w:eastAsia="zh-CN"/>
                    </w:rPr>
                    <w:t>加强用电设备的管理，提高设备运行效率。防治设备超负荷运转。</w:t>
                  </w:r>
                </w:p>
              </w:tc>
              <w:tc>
                <w:tcPr>
                  <w:tcW w:w="3265" w:type="dxa"/>
                </w:tcPr>
                <w:p>
                  <w:pPr>
                    <w:shd w:val="clear" w:color="auto" w:fill="EBF1DE" w:themeFill="accent3" w:themeFillTint="32"/>
                    <w:jc w:val="left"/>
                    <w:rPr>
                      <w:rFonts w:hint="eastAsia" w:eastAsia="宋体"/>
                      <w:highlight w:val="yellow"/>
                      <w:lang w:val="en-US" w:eastAsia="zh-CN"/>
                    </w:rPr>
                  </w:pPr>
                  <w:r>
                    <w:rPr>
                      <w:rFonts w:hint="eastAsia"/>
                      <w:highlight w:val="yellow"/>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燃料气</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其他</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A8"/>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12</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A8"/>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A8"/>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3</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30-31</w:t>
            </w:r>
            <w:r>
              <w:rPr>
                <w:rFonts w:hint="eastAsia"/>
                <w:highlight w:val="yellow"/>
                <w:u w:val="single"/>
              </w:rPr>
              <w:t xml:space="preserve">  </w:t>
            </w:r>
            <w:r>
              <w:rPr>
                <w:rFonts w:hint="eastAsia"/>
                <w:highlight w:val="yellow"/>
              </w:rPr>
              <w:t>日实施了能源管理体系内部审核，对能源管理体系的符合性和有效性进行了审核。内审发现的</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4</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30</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检测结果不合格 </w:t>
            </w:r>
            <w:r>
              <w:rPr>
                <w:rFonts w:hint="eastAsia"/>
                <w:highlight w:val="yellow"/>
              </w:rPr>
              <w:sym w:font="Wingdings" w:char="00A8"/>
            </w:r>
            <w:r>
              <w:rPr>
                <w:rFonts w:hint="eastAsia"/>
                <w:highlight w:val="yellow"/>
              </w:rPr>
              <w:t xml:space="preserve">自我检查的结果  </w:t>
            </w:r>
            <w:r>
              <w:rPr>
                <w:rFonts w:hint="eastAsia"/>
                <w:highlight w:val="yellow"/>
              </w:rPr>
              <w:sym w:font="Wingdings" w:char="00A8"/>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内审不符合项   </w:t>
            </w:r>
            <w:r>
              <w:rPr>
                <w:rFonts w:hint="eastAsia"/>
                <w:highlight w:val="yellow"/>
              </w:rPr>
              <w:sym w:font="Wingdings" w:char="00A8"/>
            </w:r>
            <w:r>
              <w:rPr>
                <w:rFonts w:hint="eastAsia"/>
                <w:highlight w:val="yellow"/>
              </w:rPr>
              <w:t xml:space="preserve">外审不符合项  </w:t>
            </w:r>
            <w:r>
              <w:rPr>
                <w:rFonts w:hint="eastAsia"/>
                <w:highlight w:val="yellow"/>
              </w:rPr>
              <w:sym w:font="Wingdings" w:char="00A8"/>
            </w:r>
            <w:r>
              <w:rPr>
                <w:rFonts w:hint="eastAsia"/>
                <w:highlight w:val="yellow"/>
              </w:rPr>
              <w:t xml:space="preserve">管理评审   </w:t>
            </w:r>
            <w:r>
              <w:rPr>
                <w:rFonts w:hint="eastAsia"/>
                <w:highlight w:val="yellow"/>
              </w:rPr>
              <w:sym w:font="Wingdings" w:char="00A8"/>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rPr>
          <w:highlight w:val="yellow"/>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yellow"/>
        </w:rPr>
      </w:pPr>
      <w:r>
        <w:rPr>
          <w:highlight w:val="yellow"/>
        </w:rPr>
        <w:t xml:space="preserve">*评价: </w:t>
      </w:r>
      <w:r>
        <w:rPr>
          <w:highlight w:val="yellow"/>
        </w:rPr>
        <w:tab/>
      </w:r>
      <w:r>
        <w:rPr>
          <w:highlight w:val="yellow"/>
        </w:rPr>
        <w:t>1 = 符合</w:t>
      </w:r>
    </w:p>
    <w:p>
      <w:pPr>
        <w:shd w:val="clear" w:color="auto" w:fill="EBF1DE" w:themeFill="accent3" w:themeFillTint="32"/>
        <w:rPr>
          <w:highlight w:val="yellow"/>
        </w:rPr>
      </w:pPr>
      <w:r>
        <w:rPr>
          <w:highlight w:val="yellow"/>
        </w:rPr>
        <w:tab/>
      </w:r>
      <w:r>
        <w:rPr>
          <w:highlight w:val="yellow"/>
        </w:rPr>
        <w:tab/>
      </w:r>
      <w:r>
        <w:rPr>
          <w:highlight w:val="yellow"/>
        </w:rPr>
        <w:t>2 = 这次审核没审</w:t>
      </w:r>
    </w:p>
    <w:p>
      <w:pPr>
        <w:shd w:val="clear" w:color="auto" w:fill="EBF1DE" w:themeFill="accent3" w:themeFillTint="32"/>
        <w:rPr>
          <w:highlight w:val="yellow"/>
        </w:rPr>
      </w:pPr>
      <w:r>
        <w:rPr>
          <w:highlight w:val="yellow"/>
        </w:rPr>
        <w:tab/>
      </w:r>
      <w:r>
        <w:rPr>
          <w:highlight w:val="yellow"/>
        </w:rPr>
        <w:tab/>
      </w:r>
      <w:r>
        <w:rPr>
          <w:highlight w:val="yellow"/>
        </w:rPr>
        <w:t xml:space="preserve">3 = 失效/不符合(参见不符合报告)  </w:t>
      </w:r>
    </w:p>
    <w:p>
      <w:pPr>
        <w:shd w:val="clear" w:color="auto" w:fill="EBF1DE" w:themeFill="accent3" w:themeFillTint="32"/>
      </w:pPr>
      <w:r>
        <w:rPr>
          <w:highlight w:val="yellow"/>
        </w:rPr>
        <w:tab/>
      </w:r>
      <w:r>
        <w:rPr>
          <w:highlight w:val="yellow"/>
        </w:rPr>
        <w:tab/>
      </w:r>
      <w:r>
        <w:rPr>
          <w:highlight w:val="yellow"/>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18"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8"/>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DD719"/>
    <w:multiLevelType w:val="singleLevel"/>
    <w:tmpl w:val="A19DD719"/>
    <w:lvl w:ilvl="0" w:tentative="0">
      <w:start w:val="5"/>
      <w:numFmt w:val="chineseCounting"/>
      <w:suff w:val="nothing"/>
      <w:lvlText w:val="%1、"/>
      <w:lvlJc w:val="left"/>
      <w:rPr>
        <w:rFonts w:hint="eastAsia"/>
      </w:rPr>
    </w:lvl>
  </w:abstractNum>
  <w:abstractNum w:abstractNumId="1">
    <w:nsid w:val="A6D726B2"/>
    <w:multiLevelType w:val="singleLevel"/>
    <w:tmpl w:val="A6D726B2"/>
    <w:lvl w:ilvl="0" w:tentative="0">
      <w:start w:val="1"/>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1F5452E"/>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5805901"/>
    <w:rsid w:val="168C2F3F"/>
    <w:rsid w:val="184E1945"/>
    <w:rsid w:val="18C04DA6"/>
    <w:rsid w:val="1914584E"/>
    <w:rsid w:val="19C9634C"/>
    <w:rsid w:val="19F41442"/>
    <w:rsid w:val="1A7C511D"/>
    <w:rsid w:val="1B0E7427"/>
    <w:rsid w:val="1B123CDB"/>
    <w:rsid w:val="1B27032A"/>
    <w:rsid w:val="1B3D6AD2"/>
    <w:rsid w:val="1C440198"/>
    <w:rsid w:val="1CCA7E2F"/>
    <w:rsid w:val="1CEE3B97"/>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76A1BA1"/>
    <w:rsid w:val="282D2075"/>
    <w:rsid w:val="287D37C7"/>
    <w:rsid w:val="294B2CEA"/>
    <w:rsid w:val="298266E7"/>
    <w:rsid w:val="298E75E3"/>
    <w:rsid w:val="29A5000B"/>
    <w:rsid w:val="2A351B1D"/>
    <w:rsid w:val="2A4B433E"/>
    <w:rsid w:val="2ABD43D7"/>
    <w:rsid w:val="2B59267F"/>
    <w:rsid w:val="2C083DC0"/>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245C09"/>
    <w:rsid w:val="3A2B65EA"/>
    <w:rsid w:val="3ACF0C29"/>
    <w:rsid w:val="3C6210A8"/>
    <w:rsid w:val="3CF27344"/>
    <w:rsid w:val="3EAD396E"/>
    <w:rsid w:val="3F0F4FB2"/>
    <w:rsid w:val="3FA04660"/>
    <w:rsid w:val="401B73D5"/>
    <w:rsid w:val="414E4D29"/>
    <w:rsid w:val="41847DAD"/>
    <w:rsid w:val="41FE1CA2"/>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A3B3B82"/>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BE64C6"/>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8</TotalTime>
  <ScaleCrop>false</ScaleCrop>
  <LinksUpToDate>false</LinksUpToDate>
  <CharactersWithSpaces>31559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2021-06-17T14:13:03Z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877CCA1F8A9C4C4781CF239D11E3B870</vt:lpwstr>
  </property>
</Properties>
</file>