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ind w:firstLine="3915" w:firstLineChars="1300"/>
        <w:jc w:val="both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E</w:t>
      </w:r>
      <w:r>
        <w:rPr>
          <w:rFonts w:hint="eastAsia"/>
          <w:b/>
          <w:sz w:val="22"/>
          <w:szCs w:val="22"/>
          <w:lang w:val="en-US" w:eastAsia="zh-CN"/>
        </w:rPr>
        <w:t>n</w:t>
      </w:r>
      <w:r>
        <w:rPr>
          <w:b/>
          <w:sz w:val="22"/>
          <w:szCs w:val="22"/>
        </w:rPr>
        <w:t xml:space="preserve">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宁波喜悦智行科技股份有限公司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2.10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5715</wp:posOffset>
                  </wp:positionV>
                  <wp:extent cx="659130" cy="307340"/>
                  <wp:effectExtent l="0" t="0" r="1270" b="10160"/>
                  <wp:wrapSquare wrapText="bothSides"/>
                  <wp:docPr id="5" name="图片 5" descr="cb617c1f8c1fefd6a061e2fd1475c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b617c1f8c1fefd6a061e2fd1475c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视频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2.10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1、吸塑包装  生产工艺流程图：</w:t>
            </w:r>
          </w:p>
          <w:p>
            <w:pPr>
              <w:snapToGrid w:val="0"/>
              <w:spacing w:line="280" w:lineRule="exact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10795</wp:posOffset>
                  </wp:positionV>
                  <wp:extent cx="5123815" cy="1390015"/>
                  <wp:effectExtent l="0" t="0" r="6985" b="698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81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left"/>
            </w:pPr>
            <w:r>
              <w:rPr>
                <w:rFonts w:hint="eastAsia"/>
              </w:rPr>
              <w:t>2、塑料围板箱  生产工艺流程图：</w:t>
            </w:r>
          </w:p>
          <w:p>
            <w:pPr>
              <w:snapToGrid w:val="0"/>
              <w:spacing w:line="28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17145</wp:posOffset>
                  </wp:positionV>
                  <wp:extent cx="5109210" cy="1257300"/>
                  <wp:effectExtent l="0" t="0" r="889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21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3、包装内材  生产工艺流程图：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114290" cy="115316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29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四、热压产品  生产工艺流程图：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113655" cy="1242695"/>
                  <wp:effectExtent l="0" t="0" r="4445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65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工艺过程消耗的能源种类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电力、柴油、压缩空气、水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主要的耗能设备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注塑机、吸塑机、热压机、空压机、模温机、真空泵、烫金机。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国家限额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《中华人民共和国节约能源法》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2、部门规章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《产业结构调整指导目录》（201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年修订）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《高耗能落后电机设备（产品）淘汰目录》（第一批）（工节〔2009〕第67号）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《高耗能落后机电设备（产品）淘汰目录（第二批）》（国家工业和信息化部工节［2012］第14号）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《高耗能落后机电设备（产品）淘汰目录（第三批）》（国家工业和信息化部工节［2014］第16号）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相关行业的产业政策（如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运动器材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等，有门槛要求）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3、节能技术标准依据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《节能监测技术通则》（GB/T15316－2009）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《综合能耗计算通则》（GB/T2589－2008） 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《用能</w:t>
            </w:r>
            <w:r>
              <w:rPr>
                <w:rFonts w:hint="default" w:ascii="楷体" w:hAnsi="楷体" w:eastAsia="楷体" w:cs="Times New Roman"/>
                <w:color w:val="auto"/>
                <w:kern w:val="0"/>
                <w:sz w:val="24"/>
              </w:rPr>
              <w:t>单位节能量计算方法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》（GB/T13234－20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）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 xml:space="preserve">《工业企业能源管理导则》（GB/T15587－2008）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《用能单位能源计量器具配备和管理通则》（GB/17167-200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</w:rPr>
              <w:t>《企业能量平衡通则》（GB/T3484-2009）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 w:hAnsi="宋体"/>
          <w:b/>
          <w:color w:val="00000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134620</wp:posOffset>
            </wp:positionV>
            <wp:extent cx="659130" cy="307340"/>
            <wp:effectExtent l="0" t="0" r="1270" b="10160"/>
            <wp:wrapSquare wrapText="bothSides"/>
            <wp:docPr id="6" name="图片 6" descr="cb617c1f8c1fefd6a061e2fd1475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b617c1f8c1fefd6a061e2fd1475c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2021.6.11</w:t>
      </w:r>
      <w:r>
        <w:rPr>
          <w:rFonts w:hint="eastAsia"/>
          <w:b/>
          <w:sz w:val="18"/>
          <w:szCs w:val="18"/>
        </w:rPr>
        <w:t xml:space="preserve">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周涛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2021.6.12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DBD2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华文细黑"/>
      <w:sz w:val="24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2021-06-13T02:09:58Z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6AA572FB6CF847CB813027E3FAAD0ED3</vt:lpwstr>
  </property>
</Properties>
</file>