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杭州捷安欣科技有限公司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提供的《法律法规及其他要求清单及合规性评价》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中《建设项目环境保护分类管理名录》为2003年1月1日；目前适用为2021年版。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华萍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p>
      <w:pPr>
        <w:rPr>
          <w:rFonts w:hint="eastAsia" w:eastAsia="方正仿宋简体"/>
          <w:b/>
        </w:rPr>
      </w:pP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杭州捷安欣科技有限公司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办公室未配套灭火器。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华萍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p>
      <w:pPr>
        <w:rPr>
          <w:rFonts w:hint="eastAsia" w:eastAsia="方正仿宋简体"/>
          <w:b/>
        </w:rPr>
      </w:pP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杭州捷安欣科技有限公司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未提供物流外包方的相关评价材料，以及相关环境和职业健康安全告知信息。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华萍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2021-7-8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B7854"/>
    <w:rsid w:val="12FC0958"/>
    <w:rsid w:val="67422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2021-07-14T16:08:47Z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4087B4F0C99E4725BE19822599D742A4</vt:lpwstr>
  </property>
</Properties>
</file>