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09"/>
        <w:gridCol w:w="1150"/>
        <w:gridCol w:w="567"/>
        <w:gridCol w:w="1059"/>
        <w:gridCol w:w="359"/>
        <w:gridCol w:w="425"/>
        <w:gridCol w:w="425"/>
        <w:gridCol w:w="24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杭州捷安欣科技有限公司</w:t>
            </w:r>
            <w:bookmarkEnd w:id="0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0540-2021-QEO</w:t>
            </w:r>
            <w:bookmarkEnd w:id="1"/>
          </w:p>
        </w:tc>
        <w:tc>
          <w:tcPr>
            <w:tcW w:w="11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周海燕</w:t>
            </w:r>
            <w:bookmarkEnd w:id="5"/>
          </w:p>
        </w:tc>
        <w:tc>
          <w:tcPr>
            <w:tcW w:w="11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0571-87938082</w:t>
            </w:r>
            <w:bookmarkEnd w:id="6"/>
          </w:p>
        </w:tc>
        <w:tc>
          <w:tcPr>
            <w:tcW w:w="78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xrhgrex@163.com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02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1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2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8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Q：氯化钙、工业氨水（限许可范围内）的批发（无仓储）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E：氯化钙、工业氨水（限许可范围内）的批发（无仓储）所涉及场所的相关环境管理活动</w:t>
            </w:r>
          </w:p>
          <w:p>
            <w:r>
              <w:rPr>
                <w:sz w:val="21"/>
                <w:szCs w:val="21"/>
              </w:rPr>
              <w:t>O：氯化钙、工业氨水（限许可范围内）的批发（无仓储）所涉及场所的相关职业健康安全管理活动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Q：29.11.05</w:t>
            </w:r>
          </w:p>
          <w:p>
            <w:r>
              <w:t>E：29.11.05</w:t>
            </w:r>
          </w:p>
          <w:p>
            <w:r>
              <w:t>O：29.11.05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上午至2021年0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20217.5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18"/>
                <w:szCs w:val="18"/>
              </w:rPr>
              <w:t>及部门设置。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了解受审核方销售过程、采购过程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以及运输外包过程中的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环境因素和危险源识别、重要环境因素控制措施策划；环境管理体系运作的情况；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必要时检查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办公区域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消防验收等情况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现场观察；</w:t>
            </w:r>
          </w:p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17:00~17:30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4800D6"/>
    <w:rsid w:val="27495DBA"/>
    <w:rsid w:val="497F534E"/>
    <w:rsid w:val="49B91785"/>
    <w:rsid w:val="67BC0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14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2021-07-07T02:57:28Z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5D3BA5799DBE4B25959E2CDD41F8283F</vt:lpwstr>
  </property>
</Properties>
</file>