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37"/>
        <w:gridCol w:w="679"/>
        <w:gridCol w:w="1939"/>
        <w:gridCol w:w="637"/>
        <w:gridCol w:w="2066"/>
        <w:gridCol w:w="1217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成都俊和科技有限公司</w:t>
            </w:r>
            <w:bookmarkEnd w:id="4"/>
          </w:p>
        </w:tc>
        <w:tc>
          <w:tcPr>
            <w:tcW w:w="121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E：29.10.07;29.11.05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Q：29.10.07;29.11.05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O：29.10.07;29.11.05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Q：29.10.07;29.11.05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6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29.10.07;29.11.05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确定顾客群体----商务洽谈----签订合同-----采购产品----产品交付----售后服务；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销售过程</w:t>
            </w:r>
            <w:r>
              <w:rPr>
                <w:rFonts w:hint="eastAsia"/>
                <w:b/>
                <w:sz w:val="20"/>
                <w:lang w:eastAsia="zh-CN"/>
              </w:rPr>
              <w:t>、采购过程</w:t>
            </w:r>
            <w:r>
              <w:rPr>
                <w:rFonts w:hint="eastAsia"/>
                <w:b/>
                <w:sz w:val="20"/>
              </w:rPr>
              <w:t>等控制风险，控制措施：人员培训合格上岗，按作业指导书实施。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重要环境因素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：潜在火灾、固废的排放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危化品泄漏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控制措施：采取分类收集、管理方案和预案措施管理。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不可接受风险的危险源：1）火灾；2）触电；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）化学品中毒、危化品爆炸。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控制措施：采取制定管理方案控制，火灾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触电、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化学品中毒、危化品爆炸采取应急预案并演练方式进行控制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产品执行标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准:电线组件GB15934-2008GB/T26219-2010；紧急制动装置GB/T14048.14-2006；齿轮几何要素代号 GB/T 3374.1-2010；基础标准 GB/T 2821-2003；几何学定义 GB/T 3374.2-2011 ；IEC60076-11:2004干式电力变压器；GB1094.1-1996电力变压器；GB1094.11-2007干式电力变压器；GB/T10228-2008干式电力变压器技术参数；GB/T7409-1997 同步电机励磁系统；AQ3003-2005；AQ3004-2005等。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27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机械及电气设备检验项目：规格/型号、外观质量、性能参数等；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0"/>
              </w:rPr>
              <w:t>化工产品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检验项目：规格/供应商、外观及包装质量、产品安全使用说明书等。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14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2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67945</wp:posOffset>
            </wp:positionV>
            <wp:extent cx="754380" cy="472440"/>
            <wp:effectExtent l="0" t="0" r="7620" b="0"/>
            <wp:wrapNone/>
            <wp:docPr id="13" name="图片 1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44450</wp:posOffset>
            </wp:positionV>
            <wp:extent cx="798830" cy="500380"/>
            <wp:effectExtent l="0" t="0" r="8890" b="254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2021.6.9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2021.6.9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6D2DD8"/>
    <w:rsid w:val="0E12523C"/>
    <w:rsid w:val="110C2ED2"/>
    <w:rsid w:val="15D3190F"/>
    <w:rsid w:val="188E71A7"/>
    <w:rsid w:val="1BCA3B9B"/>
    <w:rsid w:val="1C745A7C"/>
    <w:rsid w:val="1E5D66F9"/>
    <w:rsid w:val="1E6C5661"/>
    <w:rsid w:val="249E06BD"/>
    <w:rsid w:val="293F0B36"/>
    <w:rsid w:val="2A764372"/>
    <w:rsid w:val="2D3061C5"/>
    <w:rsid w:val="3440593D"/>
    <w:rsid w:val="381C096E"/>
    <w:rsid w:val="3B847DD7"/>
    <w:rsid w:val="3DE509AD"/>
    <w:rsid w:val="402A0024"/>
    <w:rsid w:val="42EF7223"/>
    <w:rsid w:val="47B54B26"/>
    <w:rsid w:val="485E2AA5"/>
    <w:rsid w:val="494742B6"/>
    <w:rsid w:val="49B63E2C"/>
    <w:rsid w:val="4A3566DB"/>
    <w:rsid w:val="4AC60642"/>
    <w:rsid w:val="50600232"/>
    <w:rsid w:val="597E0EDA"/>
    <w:rsid w:val="59A025F2"/>
    <w:rsid w:val="59AC5BE6"/>
    <w:rsid w:val="5A1E68F2"/>
    <w:rsid w:val="66365742"/>
    <w:rsid w:val="66FC4CA4"/>
    <w:rsid w:val="699D6807"/>
    <w:rsid w:val="69C10C4F"/>
    <w:rsid w:val="6E0E6F33"/>
    <w:rsid w:val="7481646D"/>
    <w:rsid w:val="74CF0F3A"/>
    <w:rsid w:val="7F5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2021-06-09T07:53:28Z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FA0478673AB64D4197010F8FA2C5D2B0</vt:lpwstr>
  </property>
</Properties>
</file>