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43"/>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43"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val="en-US" w:eastAsia="zh-CN"/>
              </w:rPr>
              <w:t>工程部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ascii="宋体" w:hAnsi="宋体"/>
                <w:szCs w:val="21"/>
                <w:lang w:val="en-US" w:eastAsia="zh-CN"/>
              </w:rPr>
              <w:t>张小军</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sz w:val="24"/>
                <w:szCs w:val="24"/>
              </w:rPr>
              <w:t>陪同人员：</w:t>
            </w:r>
            <w:r>
              <w:rPr>
                <w:rFonts w:hint="eastAsia"/>
                <w:szCs w:val="21"/>
                <w:lang w:val="en-US" w:eastAsia="zh-CN"/>
              </w:rPr>
              <w:t>吴腾</w:t>
            </w:r>
          </w:p>
        </w:tc>
        <w:tc>
          <w:tcPr>
            <w:tcW w:w="5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43" w:type="dxa"/>
            <w:vAlign w:val="center"/>
          </w:tcPr>
          <w:p>
            <w:pPr>
              <w:spacing w:before="120"/>
            </w:pPr>
            <w:r>
              <w:rPr>
                <w:rFonts w:hint="eastAsia"/>
                <w:sz w:val="24"/>
                <w:szCs w:val="24"/>
              </w:rPr>
              <w:t>审核员：</w:t>
            </w:r>
            <w:r>
              <w:rPr>
                <w:rFonts w:hint="eastAsia" w:ascii="宋体" w:hAnsi="宋体" w:cs="Arial"/>
                <w:szCs w:val="21"/>
                <w:lang w:val="en-US" w:eastAsia="zh-CN"/>
              </w:rPr>
              <w:t xml:space="preserve">方小娥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7</w:t>
            </w:r>
            <w:r>
              <w:rPr>
                <w:rFonts w:hint="eastAsia" w:ascii="宋体" w:hAnsi="宋体" w:cs="Arial"/>
                <w:szCs w:val="21"/>
              </w:rPr>
              <w:t>日</w:t>
            </w:r>
          </w:p>
        </w:tc>
        <w:tc>
          <w:tcPr>
            <w:tcW w:w="5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43" w:type="dxa"/>
            <w:vAlign w:val="center"/>
          </w:tcPr>
          <w:p>
            <w:pPr>
              <w:rPr>
                <w:rFonts w:hint="eastAsia" w:ascii="宋体" w:hAnsi="宋体" w:eastAsia="宋体" w:cs="Arial"/>
                <w:sz w:val="21"/>
                <w:szCs w:val="21"/>
                <w:highlight w:val="none"/>
                <w:lang w:eastAsia="zh-CN"/>
              </w:rPr>
            </w:pPr>
            <w:r>
              <w:rPr>
                <w:rFonts w:hint="eastAsia"/>
                <w:sz w:val="24"/>
                <w:szCs w:val="24"/>
              </w:rPr>
              <w:t>审核条款：</w:t>
            </w:r>
            <w:r>
              <w:rPr>
                <w:rFonts w:hint="eastAsia" w:ascii="宋体" w:hAnsi="宋体" w:cs="Arial"/>
                <w:sz w:val="21"/>
                <w:szCs w:val="21"/>
                <w:highlight w:val="none"/>
              </w:rPr>
              <w:t>Q</w:t>
            </w:r>
            <w:r>
              <w:rPr>
                <w:rFonts w:hint="eastAsia" w:ascii="宋体" w:hAnsi="宋体" w:cs="Arial"/>
                <w:sz w:val="21"/>
                <w:szCs w:val="21"/>
                <w:highlight w:val="none"/>
                <w:lang w:val="en-US" w:eastAsia="zh-CN"/>
              </w:rPr>
              <w:t>EO</w:t>
            </w:r>
            <w:r>
              <w:rPr>
                <w:rFonts w:hint="eastAsia" w:ascii="宋体" w:hAnsi="宋体" w:cs="Arial"/>
                <w:sz w:val="21"/>
                <w:szCs w:val="21"/>
                <w:highlight w:val="none"/>
              </w:rPr>
              <w:t>:5.3组织的岗位、职责和权限、6.2目标</w:t>
            </w:r>
            <w:r>
              <w:rPr>
                <w:rFonts w:hint="eastAsia" w:ascii="宋体" w:hAnsi="宋体" w:cs="Arial"/>
                <w:sz w:val="21"/>
                <w:szCs w:val="21"/>
                <w:highlight w:val="none"/>
                <w:lang w:val="en-US" w:eastAsia="zh-CN"/>
              </w:rPr>
              <w:t>指标及管理方案、</w:t>
            </w:r>
            <w:r>
              <w:rPr>
                <w:rFonts w:hint="eastAsia" w:ascii="宋体" w:hAnsi="宋体" w:cs="Arial"/>
                <w:sz w:val="21"/>
                <w:szCs w:val="21"/>
                <w:highlight w:val="none"/>
                <w:lang w:eastAsia="zh-CN"/>
              </w:rPr>
              <w:t>（</w:t>
            </w: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 xml:space="preserve"> 6.1.2</w:t>
            </w:r>
            <w:r>
              <w:rPr>
                <w:rFonts w:hint="eastAsia" w:ascii="宋体" w:hAnsi="宋体" w:cs="Arial"/>
                <w:sz w:val="21"/>
                <w:szCs w:val="21"/>
                <w:highlight w:val="none"/>
                <w:lang w:eastAsia="zh-CN"/>
              </w:rPr>
              <w:t>（</w:t>
            </w:r>
            <w:r>
              <w:rPr>
                <w:rFonts w:hint="eastAsia" w:ascii="宋体" w:hAnsi="宋体" w:cs="Arial"/>
                <w:sz w:val="21"/>
                <w:szCs w:val="21"/>
                <w:highlight w:val="none"/>
              </w:rPr>
              <w:t>环境因素</w:t>
            </w:r>
            <w:r>
              <w:rPr>
                <w:rFonts w:hint="eastAsia" w:ascii="宋体" w:hAnsi="宋体" w:cs="Arial"/>
                <w:sz w:val="21"/>
                <w:szCs w:val="21"/>
                <w:highlight w:val="none"/>
                <w:lang w:val="en-US" w:eastAsia="zh-CN"/>
              </w:rPr>
              <w:t>识别</w:t>
            </w:r>
            <w:r>
              <w:rPr>
                <w:rFonts w:hint="eastAsia" w:ascii="宋体" w:hAnsi="宋体" w:cs="Arial"/>
                <w:sz w:val="21"/>
                <w:szCs w:val="21"/>
                <w:highlight w:val="none"/>
              </w:rPr>
              <w:t>与评价</w:t>
            </w:r>
            <w:r>
              <w:rPr>
                <w:rFonts w:hint="eastAsia" w:ascii="宋体" w:hAnsi="宋体" w:cs="Arial"/>
                <w:sz w:val="21"/>
                <w:szCs w:val="21"/>
                <w:highlight w:val="none"/>
                <w:lang w:val="en-US" w:eastAsia="zh-CN"/>
              </w:rPr>
              <w:t>+危险源</w:t>
            </w:r>
            <w:r>
              <w:rPr>
                <w:rFonts w:hint="eastAsia" w:ascii="宋体" w:hAnsi="宋体" w:cs="Arial"/>
                <w:sz w:val="21"/>
                <w:szCs w:val="21"/>
                <w:highlight w:val="none"/>
              </w:rPr>
              <w:t>辨识</w:t>
            </w:r>
            <w:r>
              <w:rPr>
                <w:rFonts w:hint="eastAsia" w:ascii="宋体" w:hAnsi="宋体" w:cs="Arial"/>
                <w:sz w:val="21"/>
                <w:szCs w:val="21"/>
                <w:highlight w:val="none"/>
                <w:lang w:val="en-US" w:eastAsia="zh-CN"/>
              </w:rPr>
              <w:t>及风险评价）</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rPr>
              <w:t>8.1运行策划和控制</w:t>
            </w:r>
            <w:r>
              <w:rPr>
                <w:rFonts w:hint="eastAsia" w:ascii="宋体" w:hAnsi="宋体" w:cs="Arial"/>
                <w:sz w:val="21"/>
                <w:szCs w:val="21"/>
                <w:highlight w:val="none"/>
                <w:lang w:eastAsia="zh-CN"/>
              </w:rPr>
              <w:t>。</w:t>
            </w:r>
          </w:p>
          <w:p>
            <w:pPr>
              <w:adjustRightInd w:val="0"/>
              <w:snapToGrid w:val="0"/>
              <w:spacing w:line="320" w:lineRule="exact"/>
              <w:ind w:right="105" w:rightChars="50"/>
              <w:textAlignment w:val="baseline"/>
              <w:rPr>
                <w:sz w:val="24"/>
                <w:szCs w:val="24"/>
              </w:rPr>
            </w:pPr>
            <w:r>
              <w:rPr>
                <w:rFonts w:hint="eastAsia" w:ascii="宋体" w:hAnsi="宋体" w:cs="Arial"/>
                <w:szCs w:val="21"/>
              </w:rPr>
              <w:t>（专业条款审核有</w:t>
            </w:r>
            <w:r>
              <w:rPr>
                <w:rFonts w:hint="eastAsia" w:ascii="宋体" w:hAnsi="宋体" w:cs="Arial"/>
                <w:szCs w:val="21"/>
                <w:lang w:val="en-US" w:eastAsia="zh-CN"/>
              </w:rPr>
              <w:t>严剑江</w:t>
            </w:r>
            <w:r>
              <w:rPr>
                <w:rFonts w:hint="eastAsia" w:ascii="宋体" w:hAnsi="宋体" w:cs="Arial"/>
                <w:szCs w:val="21"/>
              </w:rPr>
              <w:t>的专业支持）</w:t>
            </w:r>
          </w:p>
        </w:tc>
        <w:tc>
          <w:tcPr>
            <w:tcW w:w="5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r>
              <w:rPr>
                <w:rFonts w:hint="eastAsia" w:ascii="宋体" w:hAnsi="宋体" w:cs="Arial"/>
                <w:szCs w:val="21"/>
              </w:rPr>
              <w:t>组织的岗位、职责和权限</w:t>
            </w:r>
          </w:p>
        </w:tc>
        <w:tc>
          <w:tcPr>
            <w:tcW w:w="960" w:type="dxa"/>
          </w:tcPr>
          <w:p>
            <w:r>
              <w:t xml:space="preserve">QEO:5.3 </w:t>
            </w:r>
          </w:p>
          <w:p>
            <w:pPr>
              <w:pStyle w:val="2"/>
            </w:pPr>
          </w:p>
        </w:tc>
        <w:tc>
          <w:tcPr>
            <w:tcW w:w="11043" w:type="dxa"/>
          </w:tcPr>
          <w:p>
            <w:pPr>
              <w:numPr>
                <w:ilvl w:val="0"/>
                <w:numId w:val="0"/>
              </w:numPr>
              <w:ind w:leftChars="0" w:firstLine="210" w:firstLineChars="10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部门职责：</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负责公司工程技术面的控制、管理工作，包括各类设备、设施运行、维修和保养的组织实施和管理。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对业主、租户开展有偿服务。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对装修工程进行监督管理。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对工程外委合作项目进行监督管理。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对物业设备、设施提出完善、整改案。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负责对使用中的测量仪器进行期性检测和日常管理。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为公司承接策划新的物业管理项目或新的服务项目提供工程技术支持。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负责本部门文件、资料的管理。</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工程部</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546"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QEO:6.2</w:t>
            </w:r>
          </w:p>
        </w:tc>
        <w:tc>
          <w:tcPr>
            <w:tcW w:w="11043" w:type="dxa"/>
          </w:tcPr>
          <w:p>
            <w:pPr>
              <w:snapToGrid w:val="0"/>
              <w:ind w:firstLine="420" w:firstLineChars="200"/>
              <w:rPr>
                <w:rFonts w:hint="eastAsia"/>
                <w:color w:val="000000"/>
                <w:szCs w:val="21"/>
              </w:rPr>
            </w:pPr>
            <w:r>
              <w:rPr>
                <w:rFonts w:hint="eastAsia"/>
                <w:color w:val="000000"/>
                <w:szCs w:val="21"/>
                <w:lang w:eastAsia="zh-CN"/>
              </w:rPr>
              <w:t>工程部</w:t>
            </w:r>
            <w:r>
              <w:rPr>
                <w:rFonts w:hint="eastAsia"/>
                <w:color w:val="000000"/>
                <w:szCs w:val="21"/>
              </w:rPr>
              <w:t>主要配合公司</w:t>
            </w:r>
            <w:r>
              <w:rPr>
                <w:rFonts w:hint="eastAsia"/>
                <w:color w:val="000000"/>
                <w:szCs w:val="21"/>
                <w:lang w:eastAsia="zh-CN"/>
              </w:rPr>
              <w:t>工程部</w:t>
            </w:r>
            <w:r>
              <w:rPr>
                <w:rFonts w:hint="eastAsia"/>
                <w:color w:val="000000"/>
                <w:szCs w:val="21"/>
              </w:rPr>
              <w:t>做好质量、环境和职业健康安全管理目标，具体有有：</w:t>
            </w:r>
          </w:p>
          <w:p>
            <w:pPr>
              <w:snapToGrid w:val="0"/>
              <w:ind w:firstLine="420" w:firstLineChars="200"/>
            </w:pPr>
            <w:r>
              <w:drawing>
                <wp:inline distT="0" distB="0" distL="114300" distR="114300">
                  <wp:extent cx="5116195" cy="810895"/>
                  <wp:effectExtent l="0" t="0" r="825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116195" cy="810895"/>
                          </a:xfrm>
                          <a:prstGeom prst="rect">
                            <a:avLst/>
                          </a:prstGeom>
                          <a:noFill/>
                          <a:ln>
                            <a:noFill/>
                          </a:ln>
                        </pic:spPr>
                      </pic:pic>
                    </a:graphicData>
                  </a:graphic>
                </wp:inline>
              </w:drawing>
            </w:r>
            <w:r>
              <w:drawing>
                <wp:inline distT="0" distB="0" distL="114300" distR="114300">
                  <wp:extent cx="5670550" cy="913130"/>
                  <wp:effectExtent l="0" t="0" r="635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670550" cy="913130"/>
                          </a:xfrm>
                          <a:prstGeom prst="rect">
                            <a:avLst/>
                          </a:prstGeom>
                          <a:noFill/>
                          <a:ln>
                            <a:noFill/>
                          </a:ln>
                        </pic:spPr>
                      </pic:pic>
                    </a:graphicData>
                  </a:graphic>
                </wp:inline>
              </w:drawing>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目标可测量，与公司方针一致。</w:t>
            </w:r>
          </w:p>
          <w:p>
            <w:pPr>
              <w:snapToGrid w:val="0"/>
              <w:ind w:firstLine="420" w:firstLineChars="200"/>
              <w:rPr>
                <w:rFonts w:hint="eastAsia"/>
                <w:color w:val="000000"/>
                <w:szCs w:val="21"/>
                <w:highlight w:val="yellow"/>
              </w:rPr>
            </w:pPr>
            <w:r>
              <w:rPr>
                <w:rFonts w:hint="eastAsia"/>
                <w:color w:val="000000"/>
                <w:szCs w:val="21"/>
              </w:rPr>
              <w:t>管理目标完成情况：查到202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月30日部门管理目标完成情况，以上管理目标已全部完成，考核：</w:t>
            </w:r>
            <w:r>
              <w:rPr>
                <w:rFonts w:hint="eastAsia"/>
                <w:color w:val="000000"/>
                <w:szCs w:val="21"/>
                <w:lang w:val="en-US" w:eastAsia="zh-CN"/>
              </w:rPr>
              <w:t>李国红</w:t>
            </w:r>
            <w:r>
              <w:rPr>
                <w:rFonts w:hint="eastAsia"/>
                <w:color w:val="000000"/>
                <w:szCs w:val="21"/>
              </w:rPr>
              <w:t xml:space="preserve">  审批：</w:t>
            </w:r>
            <w:r>
              <w:rPr>
                <w:rFonts w:hint="eastAsia"/>
                <w:color w:val="000000"/>
                <w:szCs w:val="21"/>
                <w:lang w:eastAsia="zh-CN"/>
              </w:rPr>
              <w:t>王建军</w:t>
            </w:r>
            <w:r>
              <w:rPr>
                <w:rFonts w:hint="eastAsia"/>
                <w:color w:val="000000"/>
                <w:szCs w:val="21"/>
              </w:rPr>
              <w:t>。</w:t>
            </w:r>
          </w:p>
        </w:tc>
        <w:tc>
          <w:tcPr>
            <w:tcW w:w="546"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r>
              <w:rPr>
                <w:rFonts w:hint="eastAsia" w:ascii="宋体" w:hAnsi="宋体" w:cs="Arial"/>
                <w:szCs w:val="21"/>
              </w:rPr>
              <w:t>环境因素</w:t>
            </w:r>
          </w:p>
        </w:tc>
        <w:tc>
          <w:tcPr>
            <w:tcW w:w="960" w:type="dxa"/>
          </w:tcPr>
          <w:p>
            <w:pPr>
              <w:rPr>
                <w:rFonts w:ascii="宋体" w:hAnsi="宋体" w:cs="Arial"/>
                <w:szCs w:val="21"/>
              </w:rPr>
            </w:pPr>
            <w:r>
              <w:rPr>
                <w:rFonts w:ascii="宋体" w:hAnsi="宋体" w:cs="Arial"/>
                <w:szCs w:val="21"/>
              </w:rPr>
              <w:t>E</w:t>
            </w:r>
            <w:r>
              <w:rPr>
                <w:rFonts w:hint="eastAsia" w:ascii="宋体" w:hAnsi="宋体" w:cs="Arial"/>
                <w:szCs w:val="21"/>
              </w:rPr>
              <w:t>6.1.2</w:t>
            </w:r>
          </w:p>
        </w:tc>
        <w:tc>
          <w:tcPr>
            <w:tcW w:w="11043"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ind w:firstLine="210" w:firstLineChars="100"/>
              <w:rPr>
                <w:szCs w:val="21"/>
              </w:rPr>
            </w:pPr>
            <w:r>
              <w:rPr>
                <w:rFonts w:hint="eastAsia"/>
                <w:szCs w:val="21"/>
              </w:rPr>
              <w:t>提供了《环境因素调查表》，识别的环境因素标明时态、状态和对环境的影响；经查阅识别出对在物业管理活动中产生的水、电等消耗、噪声的产生、污水排放、旧日光灯管废弃、纸张消耗、电器老化潜在火灾、服务过程汽车驾驶（机动车使用噪声、尾气排放）、安全隐患等环境因素及考虑到物业管理过程中各相关的环境因素，识别基本充分。参加调查、评价人员：</w:t>
            </w:r>
            <w:r>
              <w:rPr>
                <w:rFonts w:hint="eastAsia"/>
                <w:szCs w:val="21"/>
                <w:lang w:val="en-US" w:eastAsia="zh-CN"/>
              </w:rPr>
              <w:t>张小军、颜佳伟、李国红</w:t>
            </w:r>
            <w:r>
              <w:rPr>
                <w:rFonts w:hint="eastAsia"/>
                <w:szCs w:val="21"/>
              </w:rPr>
              <w:t xml:space="preserve">  审批：</w:t>
            </w:r>
            <w:r>
              <w:rPr>
                <w:rFonts w:hint="eastAsia"/>
                <w:szCs w:val="21"/>
                <w:lang w:eastAsia="zh-CN"/>
              </w:rPr>
              <w:t>王建军</w:t>
            </w:r>
            <w:r>
              <w:rPr>
                <w:rFonts w:hint="eastAsia"/>
                <w:szCs w:val="21"/>
              </w:rPr>
              <w:t xml:space="preserve">  日期：202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.1</w:t>
            </w:r>
            <w:r>
              <w:rPr>
                <w:rFonts w:hint="eastAsia"/>
                <w:szCs w:val="21"/>
                <w:lang w:val="en-US" w:eastAsia="zh-CN"/>
              </w:rPr>
              <w:t>9</w:t>
            </w:r>
            <w:r>
              <w:rPr>
                <w:rFonts w:hint="eastAsia"/>
                <w:szCs w:val="21"/>
              </w:rPr>
              <w:t>。本部门部涉及上述各项目的</w:t>
            </w:r>
            <w:r>
              <w:rPr>
                <w:rFonts w:hint="eastAsia"/>
                <w:szCs w:val="21"/>
                <w:lang w:val="en-US" w:eastAsia="zh-CN"/>
              </w:rPr>
              <w:t>工程</w:t>
            </w:r>
            <w:r>
              <w:rPr>
                <w:rFonts w:hint="eastAsia"/>
                <w:szCs w:val="21"/>
              </w:rPr>
              <w:t>管理服务过程相关的环境因素。</w:t>
            </w:r>
          </w:p>
          <w:p>
            <w:pPr>
              <w:spacing w:line="280" w:lineRule="exact"/>
              <w:ind w:firstLine="420" w:firstLineChars="200"/>
              <w:rPr>
                <w:rFonts w:hint="default" w:eastAsia="宋体"/>
                <w:szCs w:val="21"/>
                <w:lang w:val="en-US" w:eastAsia="zh-CN"/>
              </w:rPr>
            </w:pPr>
            <w:r>
              <w:rPr>
                <w:rFonts w:hint="eastAsia"/>
                <w:szCs w:val="21"/>
              </w:rPr>
              <w:t>重要环境因素由综合办公室统计综合评分方法确定重要环境因素，提供了“重要环境因素清单”：本部门的重要环境因素：</w:t>
            </w:r>
            <w:r>
              <w:rPr>
                <w:rFonts w:hint="eastAsia"/>
                <w:szCs w:val="21"/>
                <w:lang w:val="en-US" w:eastAsia="zh-CN"/>
              </w:rPr>
              <w:t>1、</w:t>
            </w:r>
            <w:r>
              <w:rPr>
                <w:rFonts w:hint="eastAsia"/>
                <w:color w:val="auto"/>
              </w:rPr>
              <w:t>现场清洗工具废渣、机械维修保养废渣</w:t>
            </w:r>
            <w:r>
              <w:rPr>
                <w:rFonts w:hint="eastAsia"/>
                <w:color w:val="auto"/>
                <w:lang w:eastAsia="zh-CN"/>
              </w:rPr>
              <w:t>；</w:t>
            </w:r>
            <w:r>
              <w:rPr>
                <w:rFonts w:hint="eastAsia"/>
                <w:color w:val="auto"/>
                <w:lang w:val="en-US" w:eastAsia="zh-CN"/>
              </w:rPr>
              <w:t>2、油品</w:t>
            </w:r>
            <w:r>
              <w:rPr>
                <w:rFonts w:hint="eastAsia"/>
                <w:color w:val="auto"/>
              </w:rPr>
              <w:t>及其包装、容器、含油棉纱棉布、漆刷</w:t>
            </w:r>
            <w:r>
              <w:rPr>
                <w:rFonts w:hint="eastAsia"/>
                <w:szCs w:val="21"/>
              </w:rPr>
              <w:t>等两项；提供了针对重要环境因素，编制环境目标、指标及管理方案，内容包括：目标、指标、主要措施、责任部门、经费、时间要求等。参加调查、评价人员：</w:t>
            </w:r>
            <w:r>
              <w:rPr>
                <w:rFonts w:hint="eastAsia"/>
                <w:szCs w:val="21"/>
                <w:lang w:val="en-US" w:eastAsia="zh-CN"/>
              </w:rPr>
              <w:t>丁旻、颜佳伟、李国红，</w:t>
            </w:r>
            <w:r>
              <w:rPr>
                <w:rFonts w:hint="eastAsia"/>
                <w:szCs w:val="21"/>
              </w:rPr>
              <w:t>审批：</w:t>
            </w:r>
            <w:r>
              <w:rPr>
                <w:rFonts w:hint="eastAsia"/>
                <w:szCs w:val="21"/>
                <w:lang w:eastAsia="zh-CN"/>
              </w:rPr>
              <w:t>王建军</w:t>
            </w:r>
            <w:r>
              <w:rPr>
                <w:rFonts w:hint="eastAsia"/>
                <w:szCs w:val="21"/>
              </w:rPr>
              <w:t xml:space="preserve">  日期：202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20</w:t>
            </w:r>
          </w:p>
          <w:p>
            <w:pPr>
              <w:spacing w:line="280" w:lineRule="exact"/>
              <w:ind w:firstLine="420" w:firstLineChars="200"/>
              <w:rPr>
                <w:rFonts w:hint="default" w:eastAsia="宋体"/>
                <w:szCs w:val="21"/>
                <w:lang w:val="en-US" w:eastAsia="zh-CN"/>
              </w:rPr>
            </w:pPr>
            <w:r>
              <w:rPr>
                <w:rFonts w:hint="eastAsia"/>
                <w:szCs w:val="21"/>
                <w:lang w:val="en-US" w:eastAsia="zh-CN"/>
              </w:rPr>
              <w:t>危险源识别和控制内容详见O体系的部门审核记录。</w:t>
            </w:r>
          </w:p>
        </w:tc>
        <w:tc>
          <w:tcPr>
            <w:tcW w:w="546"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E8.1</w:t>
            </w:r>
          </w:p>
        </w:tc>
        <w:tc>
          <w:tcPr>
            <w:tcW w:w="11043" w:type="dxa"/>
            <w:vAlign w:val="center"/>
          </w:tcPr>
          <w:p>
            <w:pPr>
              <w:spacing w:line="280" w:lineRule="exact"/>
              <w:ind w:firstLine="420" w:firstLineChars="200"/>
            </w:pPr>
            <w:r>
              <w:rPr>
                <w:rFonts w:hint="eastAsia"/>
              </w:rPr>
              <w:t>针对</w:t>
            </w:r>
            <w:r>
              <w:rPr>
                <w:rFonts w:hint="eastAsia"/>
                <w:lang w:eastAsia="zh-CN"/>
              </w:rPr>
              <w:t>物业管理过程</w:t>
            </w:r>
            <w:r>
              <w:rPr>
                <w:rFonts w:hint="eastAsia"/>
              </w:rPr>
              <w:t>的</w:t>
            </w:r>
            <w:r>
              <w:rPr>
                <w:rFonts w:hint="eastAsia"/>
                <w:lang w:val="en-US" w:eastAsia="zh-CN"/>
              </w:rPr>
              <w:t>工程</w:t>
            </w:r>
            <w:r>
              <w:rPr>
                <w:rFonts w:hint="eastAsia"/>
              </w:rPr>
              <w:t>管理过程涉及的环境和职业健康安全策划形成了相应的运行控制文件：手册、程序文件有关环保和职业健康安全管理要求，如固体废弃物管理控制程序、化学品管理控制程序、节能降耗控制程序</w:t>
            </w:r>
            <w:r>
              <w:rPr>
                <w:rFonts w:hint="eastAsia"/>
                <w:lang w:eastAsia="zh-CN"/>
              </w:rPr>
              <w:t>、</w:t>
            </w:r>
            <w:r>
              <w:rPr>
                <w:rFonts w:hint="eastAsia"/>
              </w:rPr>
              <w:t>环安监视和测量控制程序。</w:t>
            </w:r>
          </w:p>
          <w:p>
            <w:pPr>
              <w:spacing w:line="280" w:lineRule="exact"/>
              <w:ind w:firstLine="420" w:firstLineChars="200"/>
            </w:pPr>
            <w:r>
              <w:rPr>
                <w:rFonts w:hint="eastAsia"/>
                <w:lang w:val="en-US" w:eastAsia="zh-CN"/>
              </w:rPr>
              <w:t>工程部</w:t>
            </w:r>
            <w:r>
              <w:rPr>
                <w:rFonts w:hint="eastAsia"/>
              </w:rPr>
              <w:t>按照风险机遇、环境因素、危险源的识别和评价情况以及所确定的应对措施，进行贯彻实施。</w:t>
            </w:r>
          </w:p>
          <w:p>
            <w:r>
              <w:rPr>
                <w:rFonts w:hint="eastAsia"/>
              </w:rPr>
              <w:t>涉及的环境因素为</w:t>
            </w:r>
            <w:r>
              <w:rPr>
                <w:rFonts w:hint="eastAsia"/>
                <w:lang w:val="en-US" w:eastAsia="zh-CN"/>
              </w:rPr>
              <w:t>工程固废的排放</w:t>
            </w:r>
            <w:r>
              <w:rPr>
                <w:rFonts w:hint="eastAsia"/>
              </w:rPr>
              <w:t>；</w:t>
            </w:r>
          </w:p>
          <w:p>
            <w:pPr>
              <w:ind w:firstLine="420" w:firstLineChars="200"/>
            </w:pPr>
            <w:r>
              <w:rPr>
                <w:rFonts w:hint="eastAsia"/>
                <w:lang w:val="en-US" w:eastAsia="zh-CN"/>
              </w:rPr>
              <w:t>巡视办公场所、各项目服务中心均在</w:t>
            </w:r>
            <w:r>
              <w:rPr>
                <w:rFonts w:hint="eastAsia"/>
              </w:rPr>
              <w:t>设置防火标识，配备消防器材、检查用电安全等。</w:t>
            </w:r>
          </w:p>
          <w:p>
            <w:pPr>
              <w:ind w:firstLine="420" w:firstLineChars="200"/>
              <w:rPr>
                <w:rFonts w:hint="eastAsia"/>
              </w:rPr>
            </w:pPr>
            <w:r>
              <w:rPr>
                <w:rFonts w:hint="eastAsia"/>
              </w:rPr>
              <w:t>目前</w:t>
            </w:r>
            <w:r>
              <w:rPr>
                <w:rFonts w:hint="eastAsia"/>
                <w:lang w:val="en-US" w:eastAsia="zh-CN"/>
              </w:rPr>
              <w:t>物业服务</w:t>
            </w:r>
            <w:r>
              <w:rPr>
                <w:rFonts w:hint="eastAsia"/>
                <w:lang w:eastAsia="zh-CN"/>
              </w:rPr>
              <w:t>中心</w:t>
            </w:r>
            <w:r>
              <w:rPr>
                <w:rFonts w:hint="eastAsia"/>
                <w:lang w:val="en-US" w:eastAsia="zh-CN"/>
              </w:rPr>
              <w:t>工程</w:t>
            </w:r>
            <w:r>
              <w:rPr>
                <w:rFonts w:hint="eastAsia"/>
              </w:rPr>
              <w:t>人员配戴</w:t>
            </w:r>
            <w:r>
              <w:rPr>
                <w:rFonts w:hint="eastAsia"/>
                <w:lang w:val="en-US" w:eastAsia="zh-CN"/>
              </w:rPr>
              <w:t>口罩、手套</w:t>
            </w:r>
            <w:bookmarkStart w:id="0" w:name="_GoBack"/>
            <w:bookmarkEnd w:id="0"/>
            <w:r>
              <w:rPr>
                <w:rFonts w:hint="eastAsia"/>
                <w:lang w:val="en-US" w:eastAsia="zh-CN"/>
              </w:rPr>
              <w:t>、胶鞋等</w:t>
            </w:r>
            <w:r>
              <w:rPr>
                <w:rFonts w:hint="eastAsia"/>
              </w:rPr>
              <w:t>防护设施，上班人员测量体温并登记信息。</w:t>
            </w:r>
            <w:r>
              <w:rPr>
                <w:rFonts w:hint="eastAsia"/>
                <w:lang w:val="en-US" w:eastAsia="zh-CN"/>
              </w:rPr>
              <w:t>向各相关方</w:t>
            </w:r>
            <w:r>
              <w:rPr>
                <w:rFonts w:hint="eastAsia"/>
              </w:rPr>
              <w:t>，传达客户单位的有关环境和安全相关告知信息。</w:t>
            </w:r>
          </w:p>
          <w:p>
            <w:pPr>
              <w:spacing w:line="280" w:lineRule="exact"/>
              <w:ind w:firstLine="420" w:firstLineChars="200"/>
              <w:rPr>
                <w:rFonts w:hint="default"/>
                <w:lang w:val="en-US"/>
              </w:rPr>
            </w:pPr>
            <w:r>
              <w:rPr>
                <w:rFonts w:hint="eastAsia"/>
                <w:lang w:val="en-US" w:eastAsia="zh-CN"/>
              </w:rPr>
              <w:t>基本符合。</w:t>
            </w:r>
          </w:p>
        </w:tc>
        <w:tc>
          <w:tcPr>
            <w:tcW w:w="546" w:type="dxa"/>
          </w:tcPr>
          <w:p>
            <w:r>
              <w:rPr>
                <w:rFonts w:hint="eastAsia"/>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2350C"/>
    <w:multiLevelType w:val="singleLevel"/>
    <w:tmpl w:val="2862350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A33CE"/>
    <w:rsid w:val="000B7900"/>
    <w:rsid w:val="000D2F40"/>
    <w:rsid w:val="00105EE6"/>
    <w:rsid w:val="00106397"/>
    <w:rsid w:val="00204EE0"/>
    <w:rsid w:val="00227499"/>
    <w:rsid w:val="002362A6"/>
    <w:rsid w:val="0023725C"/>
    <w:rsid w:val="0025531C"/>
    <w:rsid w:val="00264A70"/>
    <w:rsid w:val="002B2D68"/>
    <w:rsid w:val="002D0C8A"/>
    <w:rsid w:val="0035358E"/>
    <w:rsid w:val="003761A6"/>
    <w:rsid w:val="00397552"/>
    <w:rsid w:val="00442CB2"/>
    <w:rsid w:val="00475377"/>
    <w:rsid w:val="00477578"/>
    <w:rsid w:val="00477697"/>
    <w:rsid w:val="004867CE"/>
    <w:rsid w:val="00490322"/>
    <w:rsid w:val="004A7635"/>
    <w:rsid w:val="004B16A6"/>
    <w:rsid w:val="004C7ABE"/>
    <w:rsid w:val="004F6DDE"/>
    <w:rsid w:val="00521721"/>
    <w:rsid w:val="00531A46"/>
    <w:rsid w:val="005827CF"/>
    <w:rsid w:val="005B07FA"/>
    <w:rsid w:val="00630F6F"/>
    <w:rsid w:val="00690D31"/>
    <w:rsid w:val="00692F55"/>
    <w:rsid w:val="006A1059"/>
    <w:rsid w:val="007328F9"/>
    <w:rsid w:val="0074678D"/>
    <w:rsid w:val="007923D1"/>
    <w:rsid w:val="007F158D"/>
    <w:rsid w:val="007F2B06"/>
    <w:rsid w:val="007F6397"/>
    <w:rsid w:val="00830B93"/>
    <w:rsid w:val="008747D5"/>
    <w:rsid w:val="008C0B6F"/>
    <w:rsid w:val="008E2451"/>
    <w:rsid w:val="008E4400"/>
    <w:rsid w:val="0091722B"/>
    <w:rsid w:val="00925763"/>
    <w:rsid w:val="00954EA8"/>
    <w:rsid w:val="00965B0F"/>
    <w:rsid w:val="009B5C69"/>
    <w:rsid w:val="009C3AF7"/>
    <w:rsid w:val="009C6E4A"/>
    <w:rsid w:val="009F6B2A"/>
    <w:rsid w:val="00A07938"/>
    <w:rsid w:val="00A35D1B"/>
    <w:rsid w:val="00A6744F"/>
    <w:rsid w:val="00AA6D97"/>
    <w:rsid w:val="00B14AFB"/>
    <w:rsid w:val="00B357CE"/>
    <w:rsid w:val="00BB6546"/>
    <w:rsid w:val="00C531A8"/>
    <w:rsid w:val="00C91B28"/>
    <w:rsid w:val="00CC01C7"/>
    <w:rsid w:val="00CE2E70"/>
    <w:rsid w:val="00D214FB"/>
    <w:rsid w:val="00D45F36"/>
    <w:rsid w:val="00D54654"/>
    <w:rsid w:val="00DB189B"/>
    <w:rsid w:val="00DD1DE4"/>
    <w:rsid w:val="00DD4B80"/>
    <w:rsid w:val="00DE34C0"/>
    <w:rsid w:val="00E23A5D"/>
    <w:rsid w:val="00E27C10"/>
    <w:rsid w:val="00E42F0B"/>
    <w:rsid w:val="00EF0EFC"/>
    <w:rsid w:val="00EF3EBB"/>
    <w:rsid w:val="00F16894"/>
    <w:rsid w:val="00FA234B"/>
    <w:rsid w:val="00FA73F7"/>
    <w:rsid w:val="0A7E3F8B"/>
    <w:rsid w:val="129E4490"/>
    <w:rsid w:val="16C42667"/>
    <w:rsid w:val="339360E6"/>
    <w:rsid w:val="339A76FB"/>
    <w:rsid w:val="531062DF"/>
    <w:rsid w:val="57C97198"/>
    <w:rsid w:val="57FB0683"/>
    <w:rsid w:val="6156537D"/>
    <w:rsid w:val="68675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99"/>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576</Words>
  <Characters>3285</Characters>
  <Lines>27</Lines>
  <Paragraphs>7</Paragraphs>
  <TotalTime>5</TotalTime>
  <ScaleCrop>false</ScaleCrop>
  <LinksUpToDate>false</LinksUpToDate>
  <CharactersWithSpaces>3854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微软用户</dc:creator>
  <cp:lastModifiedBy>Mr.Wrong</cp:lastModifiedBy>
  <dcterms:modified xsi:type="dcterms:W3CDTF">2021-07-05T06:53:32Z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E8E6CB5B95C44DCF9B985985A1762893</vt:lpwstr>
  </property>
</Properties>
</file>