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16"/>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eastAsia" w:eastAsia="宋体" w:asciiTheme="minorEastAsia" w:hAnsiTheme="minorEastAsia" w:cstheme="minorEastAsia"/>
                <w:sz w:val="21"/>
                <w:szCs w:val="21"/>
                <w:highlight w:val="none"/>
                <w:lang w:val="en-US" w:eastAsia="zh-CN"/>
              </w:rPr>
            </w:pPr>
            <w:r>
              <w:rPr>
                <w:rFonts w:ascii="Times New Roman" w:hAnsi="Times New Roman"/>
                <w:highlight w:val="none"/>
              </w:rPr>
              <w:t>受审核部门：</w:t>
            </w:r>
            <w:r>
              <w:rPr>
                <w:rFonts w:hint="eastAsia"/>
                <w:highlight w:val="none"/>
                <w:lang w:val="en-US" w:eastAsia="zh-CN"/>
              </w:rPr>
              <w:t>拓展部</w:t>
            </w:r>
            <w:r>
              <w:rPr>
                <w:rFonts w:ascii="Times New Roman" w:hAnsi="Times New Roman"/>
                <w:highlight w:val="none"/>
              </w:rPr>
              <w:t xml:space="preserve">     </w:t>
            </w:r>
            <w:r>
              <w:rPr>
                <w:rFonts w:hint="eastAsia"/>
                <w:highlight w:val="none"/>
                <w:lang w:val="en-US" w:eastAsia="zh-CN"/>
              </w:rPr>
              <w:t xml:space="preserve">   </w:t>
            </w:r>
            <w:r>
              <w:rPr>
                <w:rFonts w:ascii="Times New Roman" w:hAnsi="Times New Roman"/>
                <w:highlight w:val="none"/>
              </w:rPr>
              <w:t>主管领导：</w:t>
            </w:r>
            <w:r>
              <w:rPr>
                <w:rFonts w:hint="eastAsia"/>
                <w:highlight w:val="none"/>
                <w:lang w:val="en-US" w:eastAsia="zh-CN"/>
              </w:rPr>
              <w:t xml:space="preserve">沈伟   </w:t>
            </w:r>
            <w:r>
              <w:rPr>
                <w:rFonts w:ascii="Times New Roman" w:hAnsi="Times New Roman"/>
                <w:highlight w:val="none"/>
              </w:rPr>
              <w:t xml:space="preserve"> 陪同人员：</w:t>
            </w:r>
            <w:r>
              <w:rPr>
                <w:rFonts w:hint="eastAsia"/>
                <w:highlight w:val="none"/>
                <w:lang w:val="en-US" w:eastAsia="zh-CN"/>
              </w:rPr>
              <w:t>王华卫</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spacing w:before="1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审核员：</w:t>
            </w:r>
            <w:r>
              <w:rPr>
                <w:rFonts w:hint="eastAsia" w:asciiTheme="minorEastAsia" w:hAnsiTheme="minorEastAsia" w:eastAsiaTheme="minorEastAsia" w:cstheme="minorEastAsia"/>
                <w:color w:val="auto"/>
                <w:sz w:val="21"/>
                <w:szCs w:val="21"/>
                <w:highlight w:val="none"/>
                <w:lang w:val="en-US" w:eastAsia="zh-CN"/>
              </w:rPr>
              <w:t xml:space="preserve">王央央             </w:t>
            </w:r>
            <w:r>
              <w:rPr>
                <w:rFonts w:hint="eastAsia" w:asciiTheme="minorEastAsia" w:hAnsiTheme="minorEastAsia" w:eastAsiaTheme="minorEastAsia" w:cstheme="minorEastAsia"/>
                <w:color w:val="auto"/>
                <w:sz w:val="21"/>
                <w:szCs w:val="21"/>
                <w:highlight w:val="none"/>
              </w:rPr>
              <w:t>审核时间：</w:t>
            </w:r>
            <w:r>
              <w:rPr>
                <w:rFonts w:hint="eastAsia" w:asciiTheme="minorEastAsia" w:hAnsiTheme="minorEastAsia" w:eastAsiaTheme="minorEastAsia" w:cstheme="minorEastAsia"/>
                <w:color w:val="auto"/>
                <w:sz w:val="21"/>
                <w:szCs w:val="21"/>
                <w:highlight w:val="none"/>
                <w:lang w:val="en-US" w:eastAsia="zh-CN"/>
              </w:rPr>
              <w:t>2021年6月7日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pStyle w:val="20"/>
              <w:rPr>
                <w:rFonts w:hint="eastAsia"/>
                <w:highlight w:val="none"/>
              </w:rPr>
            </w:pPr>
            <w:r>
              <w:rPr>
                <w:rFonts w:hint="eastAsia"/>
                <w:highlight w:val="none"/>
              </w:rPr>
              <w:t>审核条款：</w:t>
            </w:r>
          </w:p>
          <w:p>
            <w:pPr>
              <w:pStyle w:val="20"/>
              <w:rPr>
                <w:rFonts w:hint="eastAsia"/>
                <w:highlight w:val="none"/>
              </w:rPr>
            </w:pPr>
            <w:r>
              <w:rPr>
                <w:rFonts w:hint="eastAsia" w:ascii="宋体" w:hAnsi="宋体" w:cs="Arial"/>
                <w:sz w:val="21"/>
                <w:szCs w:val="21"/>
                <w:highlight w:val="none"/>
              </w:rPr>
              <w:t>Q</w:t>
            </w:r>
            <w:r>
              <w:rPr>
                <w:rFonts w:hint="eastAsia" w:ascii="宋体" w:hAnsi="宋体" w:cs="Arial"/>
                <w:sz w:val="21"/>
                <w:szCs w:val="21"/>
                <w:highlight w:val="none"/>
                <w:lang w:val="en-US" w:eastAsia="zh-CN"/>
              </w:rPr>
              <w:t>EO</w:t>
            </w:r>
            <w:r>
              <w:rPr>
                <w:rFonts w:hint="eastAsia" w:ascii="宋体" w:hAnsi="宋体" w:cs="Arial"/>
                <w:sz w:val="21"/>
                <w:szCs w:val="21"/>
                <w:highlight w:val="none"/>
              </w:rPr>
              <w:t>: 5.3组织的岗位、职责和权限、6.2目标</w:t>
            </w:r>
            <w:r>
              <w:rPr>
                <w:rFonts w:hint="eastAsia" w:ascii="宋体" w:hAnsi="宋体" w:cs="Arial"/>
                <w:sz w:val="21"/>
                <w:szCs w:val="21"/>
                <w:highlight w:val="none"/>
                <w:lang w:val="en-US" w:eastAsia="zh-CN"/>
              </w:rPr>
              <w:t>指标及管理方案</w:t>
            </w:r>
            <w:r>
              <w:rPr>
                <w:rFonts w:hint="eastAsia" w:ascii="宋体" w:hAnsi="宋体" w:cs="Arial"/>
                <w:sz w:val="21"/>
                <w:szCs w:val="21"/>
                <w:highlight w:val="none"/>
                <w:lang w:eastAsia="zh-CN"/>
              </w:rPr>
              <w:t>、（</w:t>
            </w:r>
            <w:r>
              <w:rPr>
                <w:rFonts w:hint="eastAsia" w:ascii="宋体" w:hAnsi="宋体" w:cs="Arial"/>
                <w:sz w:val="21"/>
                <w:szCs w:val="21"/>
                <w:highlight w:val="none"/>
              </w:rPr>
              <w:t>E</w:t>
            </w:r>
            <w:r>
              <w:rPr>
                <w:rFonts w:hint="eastAsia" w:ascii="宋体" w:hAnsi="宋体" w:cs="Arial"/>
                <w:sz w:val="21"/>
                <w:szCs w:val="21"/>
                <w:highlight w:val="none"/>
                <w:lang w:val="en-US" w:eastAsia="zh-CN"/>
              </w:rPr>
              <w:t>O）</w:t>
            </w:r>
            <w:r>
              <w:rPr>
                <w:rFonts w:hint="eastAsia" w:ascii="宋体" w:hAnsi="宋体" w:cs="Arial"/>
                <w:sz w:val="21"/>
                <w:szCs w:val="21"/>
                <w:highlight w:val="none"/>
              </w:rPr>
              <w:t xml:space="preserve"> 6.1.2</w:t>
            </w:r>
            <w:r>
              <w:rPr>
                <w:rFonts w:hint="eastAsia" w:ascii="宋体" w:hAnsi="宋体" w:cs="Arial"/>
                <w:sz w:val="21"/>
                <w:szCs w:val="21"/>
                <w:highlight w:val="none"/>
                <w:lang w:eastAsia="zh-CN"/>
              </w:rPr>
              <w:t>（</w:t>
            </w:r>
            <w:r>
              <w:rPr>
                <w:rFonts w:hint="eastAsia" w:ascii="宋体" w:hAnsi="宋体" w:cs="Arial"/>
                <w:sz w:val="21"/>
                <w:szCs w:val="21"/>
                <w:highlight w:val="none"/>
              </w:rPr>
              <w:t>环境因素</w:t>
            </w:r>
            <w:r>
              <w:rPr>
                <w:rFonts w:hint="eastAsia" w:ascii="宋体" w:hAnsi="宋体" w:cs="Arial"/>
                <w:sz w:val="21"/>
                <w:szCs w:val="21"/>
                <w:highlight w:val="none"/>
                <w:lang w:val="en-US" w:eastAsia="zh-CN"/>
              </w:rPr>
              <w:t>识别</w:t>
            </w:r>
            <w:r>
              <w:rPr>
                <w:rFonts w:hint="eastAsia" w:ascii="宋体" w:hAnsi="宋体" w:cs="Arial"/>
                <w:sz w:val="21"/>
                <w:szCs w:val="21"/>
                <w:highlight w:val="none"/>
              </w:rPr>
              <w:t>与评价</w:t>
            </w:r>
            <w:r>
              <w:rPr>
                <w:rFonts w:hint="eastAsia" w:ascii="宋体" w:hAnsi="宋体" w:cs="Arial"/>
                <w:sz w:val="21"/>
                <w:szCs w:val="21"/>
                <w:highlight w:val="none"/>
                <w:lang w:val="en-US" w:eastAsia="zh-CN"/>
              </w:rPr>
              <w:t>+危险源</w:t>
            </w:r>
            <w:r>
              <w:rPr>
                <w:rFonts w:hint="eastAsia" w:ascii="宋体" w:hAnsi="宋体" w:cs="Arial"/>
                <w:sz w:val="21"/>
                <w:szCs w:val="21"/>
                <w:highlight w:val="none"/>
              </w:rPr>
              <w:t>辨识</w:t>
            </w:r>
            <w:r>
              <w:rPr>
                <w:rFonts w:hint="eastAsia" w:ascii="宋体" w:hAnsi="宋体" w:cs="Arial"/>
                <w:sz w:val="21"/>
                <w:szCs w:val="21"/>
                <w:highlight w:val="none"/>
                <w:lang w:val="en-US" w:eastAsia="zh-CN"/>
              </w:rPr>
              <w:t>及风险评价）</w:t>
            </w:r>
            <w:r>
              <w:rPr>
                <w:rFonts w:hint="eastAsia" w:ascii="宋体" w:hAnsi="宋体" w:cs="Arial"/>
                <w:sz w:val="21"/>
                <w:szCs w:val="21"/>
                <w:highlight w:val="none"/>
                <w:lang w:eastAsia="zh-CN"/>
              </w:rPr>
              <w:t>、</w:t>
            </w:r>
            <w:r>
              <w:rPr>
                <w:rFonts w:hint="eastAsia" w:ascii="宋体" w:hAnsi="宋体" w:cs="Arial"/>
                <w:sz w:val="21"/>
                <w:szCs w:val="21"/>
                <w:highlight w:val="none"/>
              </w:rPr>
              <w:t>8.1运行策划和控制</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Q</w:t>
            </w:r>
            <w:r>
              <w:rPr>
                <w:rFonts w:hint="eastAsia" w:ascii="宋体" w:hAnsi="宋体" w:eastAsia="宋体" w:cs="Arial"/>
                <w:sz w:val="21"/>
                <w:szCs w:val="21"/>
                <w:highlight w:val="none"/>
                <w:lang w:val="en-US" w:eastAsia="zh-CN"/>
              </w:rPr>
              <w:t>8.2 物业管理服务的要求、</w:t>
            </w:r>
            <w:r>
              <w:rPr>
                <w:rFonts w:hint="eastAsia" w:ascii="宋体" w:hAnsi="宋体" w:cs="Arial"/>
                <w:sz w:val="21"/>
                <w:szCs w:val="21"/>
                <w:highlight w:val="none"/>
                <w:lang w:val="en-US" w:eastAsia="zh-CN"/>
              </w:rPr>
              <w:t>Q</w:t>
            </w:r>
            <w:r>
              <w:rPr>
                <w:rFonts w:hint="eastAsia" w:ascii="宋体" w:hAnsi="宋体" w:eastAsia="宋体" w:cs="Arial"/>
                <w:sz w:val="21"/>
                <w:szCs w:val="21"/>
                <w:highlight w:val="none"/>
              </w:rPr>
              <w:t>8.3</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删除</w:t>
            </w:r>
            <w:r>
              <w:rPr>
                <w:rFonts w:hint="eastAsia" w:ascii="宋体" w:hAnsi="宋体" w:cs="Arial"/>
                <w:sz w:val="21"/>
                <w:szCs w:val="21"/>
                <w:highlight w:val="none"/>
                <w:lang w:eastAsia="zh-CN"/>
              </w:rPr>
              <w:t>）</w:t>
            </w:r>
            <w:r>
              <w:rPr>
                <w:rFonts w:hint="eastAsia" w:ascii="宋体" w:hAnsi="宋体" w:eastAsia="宋体" w:cs="Arial"/>
                <w:sz w:val="21"/>
                <w:szCs w:val="21"/>
                <w:highlight w:val="none"/>
                <w:lang w:eastAsia="zh-CN"/>
              </w:rPr>
              <w:t>、</w:t>
            </w:r>
            <w:r>
              <w:rPr>
                <w:rFonts w:hint="eastAsia" w:ascii="宋体" w:hAnsi="宋体" w:cs="Arial"/>
                <w:sz w:val="21"/>
                <w:szCs w:val="21"/>
                <w:highlight w:val="none"/>
                <w:lang w:val="en-US" w:eastAsia="zh-CN"/>
              </w:rPr>
              <w:t>Q8.4外部提供的产品和服务的控制、Q</w:t>
            </w:r>
            <w:r>
              <w:rPr>
                <w:rFonts w:hint="eastAsia" w:ascii="宋体" w:hAnsi="宋体" w:eastAsia="宋体" w:cs="Arial"/>
                <w:sz w:val="21"/>
                <w:szCs w:val="21"/>
                <w:highlight w:val="none"/>
              </w:rPr>
              <w:t>8.5.5 交付后的活动</w:t>
            </w:r>
            <w:r>
              <w:rPr>
                <w:rFonts w:hint="eastAsia" w:ascii="宋体" w:hAnsi="宋体" w:cs="Arial"/>
                <w:sz w:val="21"/>
                <w:szCs w:val="21"/>
                <w:highlight w:val="none"/>
                <w:lang w:val="en-US" w:eastAsia="zh-CN"/>
              </w:rPr>
              <w:t>、Q8.5.6生产和服务提供的更改控制、Q9.1.2顾客满意</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rPr>
                <w:rFonts w:hint="eastAsia" w:asciiTheme="minorEastAsia" w:hAnsiTheme="minorEastAsia" w:eastAsiaTheme="minorEastAsia" w:cstheme="minorEastAsia"/>
                <w:sz w:val="21"/>
                <w:szCs w:val="21"/>
              </w:rPr>
            </w:pPr>
          </w:p>
        </w:tc>
        <w:tc>
          <w:tcPr>
            <w:tcW w:w="965"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:5.3</w:t>
            </w:r>
          </w:p>
          <w:p>
            <w:pPr>
              <w:rPr>
                <w:rFonts w:hint="eastAsia" w:asciiTheme="minorEastAsia" w:hAnsiTheme="minorEastAsia" w:eastAsiaTheme="minorEastAsia" w:cstheme="minorEastAsia"/>
                <w:sz w:val="21"/>
                <w:szCs w:val="21"/>
              </w:rPr>
            </w:pPr>
          </w:p>
        </w:tc>
        <w:tc>
          <w:tcPr>
            <w:tcW w:w="10927"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拓展部职责</w:t>
            </w:r>
          </w:p>
          <w:p>
            <w:pPr>
              <w:pStyle w:val="30"/>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⑴负责</w:t>
            </w:r>
            <w:r>
              <w:rPr>
                <w:rFonts w:hint="eastAsia" w:ascii="宋体" w:hAnsi="宋体" w:eastAsia="宋体" w:cs="宋体"/>
                <w:color w:val="000000"/>
                <w:sz w:val="21"/>
                <w:szCs w:val="21"/>
                <w:lang w:eastAsia="zh-CN"/>
              </w:rPr>
              <w:t>与</w:t>
            </w:r>
            <w:r>
              <w:rPr>
                <w:rFonts w:hint="eastAsia" w:ascii="宋体" w:hAnsi="宋体" w:eastAsia="宋体" w:cs="宋体"/>
                <w:color w:val="000000"/>
                <w:sz w:val="21"/>
                <w:szCs w:val="21"/>
                <w:lang w:val="en-US" w:eastAsia="zh-CN"/>
              </w:rPr>
              <w:t>物业销售</w:t>
            </w:r>
            <w:r>
              <w:rPr>
                <w:rFonts w:hint="eastAsia" w:ascii="宋体" w:hAnsi="宋体" w:eastAsia="宋体" w:cs="宋体"/>
                <w:color w:val="000000"/>
                <w:sz w:val="21"/>
                <w:szCs w:val="21"/>
                <w:lang w:eastAsia="zh-CN"/>
              </w:rPr>
              <w:t>服务</w:t>
            </w:r>
            <w:r>
              <w:rPr>
                <w:rFonts w:hint="eastAsia" w:ascii="宋体" w:hAnsi="宋体" w:eastAsia="宋体" w:cs="宋体"/>
                <w:color w:val="000000"/>
                <w:sz w:val="21"/>
                <w:szCs w:val="21"/>
              </w:rPr>
              <w:t>有关的要求的确定；组织编制合同文件及时与顾客联系等</w:t>
            </w:r>
            <w:r>
              <w:rPr>
                <w:rFonts w:hint="eastAsia" w:ascii="宋体" w:hAnsi="宋体" w:eastAsia="宋体" w:cs="宋体"/>
                <w:color w:val="000000"/>
                <w:sz w:val="21"/>
                <w:szCs w:val="21"/>
                <w:lang w:eastAsia="zh-CN"/>
              </w:rPr>
              <w:t>；</w:t>
            </w:r>
          </w:p>
          <w:p>
            <w:pPr>
              <w:pStyle w:val="30"/>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1"/>
                <w:szCs w:val="21"/>
              </w:rPr>
            </w:pPr>
            <w:r>
              <w:rPr>
                <w:rFonts w:hint="eastAsia" w:ascii="宋体" w:hAnsi="宋体" w:eastAsia="宋体" w:cs="宋体"/>
                <w:kern w:val="2"/>
                <w:sz w:val="21"/>
                <w:szCs w:val="21"/>
              </w:rPr>
              <w:t xml:space="preserve">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GB2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⑵</w:t>
            </w:r>
            <w:r>
              <w:rPr>
                <w:rFonts w:hint="eastAsia" w:ascii="宋体" w:hAnsi="宋体" w:eastAsia="宋体" w:cs="宋体"/>
                <w:sz w:val="21"/>
                <w:szCs w:val="21"/>
              </w:rPr>
              <w:fldChar w:fldCharType="end"/>
            </w:r>
            <w:r>
              <w:rPr>
                <w:rFonts w:hint="eastAsia" w:ascii="宋体" w:hAnsi="宋体" w:eastAsia="宋体" w:cs="宋体"/>
                <w:color w:val="000000"/>
                <w:sz w:val="21"/>
                <w:szCs w:val="21"/>
              </w:rPr>
              <w:t>负责</w:t>
            </w:r>
            <w:r>
              <w:rPr>
                <w:rFonts w:hint="eastAsia" w:ascii="宋体" w:hAnsi="宋体" w:eastAsia="宋体" w:cs="宋体"/>
                <w:color w:val="000000"/>
                <w:sz w:val="21"/>
                <w:szCs w:val="21"/>
                <w:lang w:val="en-US" w:eastAsia="zh-CN"/>
              </w:rPr>
              <w:t>物业销售</w:t>
            </w:r>
            <w:r>
              <w:rPr>
                <w:rFonts w:hint="eastAsia" w:ascii="宋体" w:hAnsi="宋体" w:eastAsia="宋体" w:cs="宋体"/>
                <w:color w:val="000000"/>
                <w:sz w:val="21"/>
                <w:szCs w:val="21"/>
                <w:lang w:eastAsia="zh-CN"/>
              </w:rPr>
              <w:t>服务</w:t>
            </w:r>
            <w:r>
              <w:rPr>
                <w:rFonts w:hint="eastAsia" w:ascii="宋体" w:hAnsi="宋体" w:eastAsia="宋体" w:cs="宋体"/>
                <w:color w:val="000000"/>
                <w:sz w:val="21"/>
                <w:szCs w:val="21"/>
              </w:rPr>
              <w:t>有关的要求的评审等</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⑶负责市场调查，信息收集、销售服务工作等。</w:t>
            </w:r>
          </w:p>
          <w:p>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⑷负责</w:t>
            </w:r>
            <w:r>
              <w:rPr>
                <w:rFonts w:hint="eastAsia" w:ascii="宋体" w:hAnsi="宋体" w:eastAsia="宋体" w:cs="宋体"/>
                <w:sz w:val="21"/>
                <w:szCs w:val="21"/>
                <w:lang w:val="en-US" w:eastAsia="zh-CN"/>
              </w:rPr>
              <w:t>物业</w:t>
            </w:r>
            <w:r>
              <w:rPr>
                <w:rFonts w:hint="eastAsia" w:ascii="宋体" w:hAnsi="宋体" w:eastAsia="宋体" w:cs="宋体"/>
                <w:sz w:val="21"/>
                <w:szCs w:val="21"/>
                <w:lang w:eastAsia="zh-CN"/>
              </w:rPr>
              <w:t>销售服务提供的控制、销售服务质量监督管理及不合格销售服务的控制等；</w:t>
            </w:r>
          </w:p>
          <w:p>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⑸负责顾客财产、产品防护等。</w:t>
            </w:r>
          </w:p>
          <w:p>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(6)负责公司外部供方的合同审批的管理活动。</w:t>
            </w:r>
          </w:p>
          <w:p>
            <w:pPr>
              <w:spacing w:line="280" w:lineRule="exact"/>
              <w:rPr>
                <w:color w:val="000000"/>
                <w:szCs w:val="21"/>
              </w:rPr>
            </w:pPr>
            <w:r>
              <w:rPr>
                <w:rFonts w:hint="eastAsia"/>
                <w:color w:val="000000"/>
                <w:szCs w:val="21"/>
              </w:rPr>
              <w:t>与</w:t>
            </w:r>
            <w:r>
              <w:rPr>
                <w:rFonts w:hint="eastAsia"/>
                <w:color w:val="000000"/>
                <w:szCs w:val="21"/>
                <w:lang w:val="en-US" w:eastAsia="zh-CN"/>
              </w:rPr>
              <w:t>拓展</w:t>
            </w:r>
            <w:r>
              <w:rPr>
                <w:rFonts w:hint="eastAsia"/>
                <w:color w:val="000000"/>
                <w:szCs w:val="21"/>
                <w:lang w:eastAsia="zh-CN"/>
              </w:rPr>
              <w:t>部</w:t>
            </w:r>
            <w:r>
              <w:rPr>
                <w:rFonts w:hint="eastAsia"/>
                <w:color w:val="000000"/>
                <w:szCs w:val="21"/>
              </w:rPr>
              <w:t>负责人沟通，描述的职责和权限与一体化管理体系的职能分配表基本一致。</w:t>
            </w:r>
          </w:p>
          <w:p>
            <w:pPr>
              <w:rPr>
                <w:rFonts w:hint="eastAsia" w:asciiTheme="minorEastAsia" w:hAnsiTheme="minorEastAsia" w:eastAsiaTheme="minorEastAsia" w:cstheme="minorEastAsia"/>
                <w:sz w:val="21"/>
                <w:szCs w:val="21"/>
              </w:rPr>
            </w:pPr>
            <w:r>
              <w:rPr>
                <w:rFonts w:hint="eastAsia"/>
                <w:color w:val="000000"/>
                <w:szCs w:val="21"/>
              </w:rPr>
              <w:t>有办公桌、电脑、空调等能满足部门体系运行需求。</w:t>
            </w:r>
          </w:p>
          <w:p>
            <w:pPr>
              <w:rPr>
                <w:rFonts w:hint="eastAsia" w:asciiTheme="minorEastAsia" w:hAnsiTheme="minorEastAsia" w:eastAsiaTheme="minorEastAsia" w:cstheme="minorEastAsia"/>
                <w:sz w:val="21"/>
                <w:szCs w:val="21"/>
              </w:rPr>
            </w:pP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rPr>
                <w:rFonts w:hint="eastAsia" w:asciiTheme="minorEastAsia" w:hAnsiTheme="minorEastAsia" w:eastAsiaTheme="minorEastAsia" w:cstheme="minorEastAsia"/>
                <w:sz w:val="21"/>
                <w:szCs w:val="21"/>
              </w:rPr>
            </w:pPr>
            <w:r>
              <w:rPr>
                <w:rFonts w:hint="eastAsia" w:ascii="宋体" w:hAnsi="宋体" w:cs="Arial"/>
                <w:sz w:val="21"/>
                <w:szCs w:val="21"/>
                <w:highlight w:val="none"/>
              </w:rPr>
              <w:t>运行策划和控制</w:t>
            </w:r>
          </w:p>
        </w:tc>
        <w:tc>
          <w:tcPr>
            <w:tcW w:w="965" w:type="dxa"/>
            <w:vAlign w:val="top"/>
          </w:tcPr>
          <w:p>
            <w:pPr>
              <w:rPr>
                <w:rFonts w:hint="eastAsia" w:asciiTheme="minorEastAsia" w:hAnsiTheme="minorEastAsia" w:eastAsiaTheme="minorEastAsia" w:cstheme="minorEastAsia"/>
                <w:sz w:val="21"/>
                <w:szCs w:val="21"/>
              </w:rPr>
            </w:pPr>
            <w:r>
              <w:rPr>
                <w:rFonts w:hint="eastAsia" w:ascii="宋体" w:hAnsi="宋体" w:cs="Arial"/>
                <w:sz w:val="21"/>
                <w:szCs w:val="21"/>
                <w:highlight w:val="none"/>
                <w:lang w:val="en-US" w:eastAsia="zh-CN"/>
              </w:rPr>
              <w:t>Q</w:t>
            </w:r>
            <w:r>
              <w:rPr>
                <w:rFonts w:hint="eastAsia" w:ascii="宋体" w:hAnsi="宋体" w:cs="Arial"/>
                <w:sz w:val="21"/>
                <w:szCs w:val="21"/>
                <w:highlight w:val="none"/>
              </w:rPr>
              <w:t>8.1</w:t>
            </w:r>
          </w:p>
        </w:tc>
        <w:tc>
          <w:tcPr>
            <w:tcW w:w="10927" w:type="dxa"/>
            <w:vAlign w:val="top"/>
          </w:tcPr>
          <w:p>
            <w:pPr>
              <w:spacing w:line="360" w:lineRule="auto"/>
              <w:ind w:firstLine="420" w:firstLineChars="200"/>
              <w:rPr>
                <w:rFonts w:hint="default" w:ascii="宋体" w:hAnsi="宋体" w:eastAsia="宋体" w:cs="宋体"/>
                <w:color w:val="auto"/>
                <w:sz w:val="21"/>
                <w:szCs w:val="21"/>
                <w:lang w:val="en-US" w:eastAsia="zh-CN"/>
              </w:rPr>
            </w:pPr>
            <w:r>
              <w:rPr>
                <w:rFonts w:hint="eastAsia"/>
              </w:rPr>
              <w:t>编制与</w:t>
            </w:r>
            <w:r>
              <w:rPr>
                <w:rFonts w:hint="eastAsia"/>
                <w:lang w:val="en-US" w:eastAsia="zh-CN"/>
              </w:rPr>
              <w:t>质量管理</w:t>
            </w:r>
            <w:r>
              <w:rPr>
                <w:rFonts w:hint="eastAsia"/>
              </w:rPr>
              <w:t>体系运行控制有关的文件有</w:t>
            </w:r>
            <w:r>
              <w:rPr>
                <w:rFonts w:hint="eastAsia"/>
                <w:lang w:eastAsia="zh-CN"/>
              </w:rPr>
              <w:t>《</w:t>
            </w:r>
            <w:r>
              <w:rPr>
                <w:rFonts w:hint="eastAsia" w:ascii="宋体" w:hAnsi="宋体" w:eastAsia="宋体" w:cs="宋体"/>
                <w:color w:val="auto"/>
                <w:sz w:val="21"/>
                <w:szCs w:val="21"/>
              </w:rPr>
              <w:t>与顾客有关的过程控制程序</w:t>
            </w:r>
            <w:r>
              <w:rPr>
                <w:rFonts w:hint="eastAsia"/>
                <w:lang w:eastAsia="zh-CN"/>
              </w:rPr>
              <w:t>》、《</w:t>
            </w:r>
            <w:r>
              <w:rPr>
                <w:rFonts w:hint="eastAsia" w:ascii="宋体" w:hAnsi="宋体" w:eastAsia="宋体" w:cs="宋体"/>
                <w:color w:val="auto"/>
                <w:sz w:val="21"/>
                <w:szCs w:val="21"/>
              </w:rPr>
              <w:t>采购控制程序</w:t>
            </w:r>
            <w:r>
              <w:rPr>
                <w:rFonts w:hint="eastAsia"/>
                <w:lang w:eastAsia="zh-CN"/>
              </w:rPr>
              <w:t>》、《</w:t>
            </w:r>
            <w:r>
              <w:rPr>
                <w:rFonts w:hint="eastAsia" w:ascii="宋体" w:hAnsi="宋体" w:eastAsia="宋体" w:cs="宋体"/>
                <w:color w:val="auto"/>
                <w:sz w:val="21"/>
                <w:szCs w:val="21"/>
              </w:rPr>
              <w:t>顾客满意度调查控制程序</w:t>
            </w:r>
            <w:r>
              <w:rPr>
                <w:rFonts w:hint="eastAsia"/>
                <w:lang w:eastAsia="zh-CN"/>
              </w:rPr>
              <w:t>》</w:t>
            </w:r>
            <w:r>
              <w:rPr>
                <w:rFonts w:hint="eastAsia"/>
              </w:rPr>
              <w:t>等。</w:t>
            </w:r>
            <w:r>
              <w:rPr>
                <w:rFonts w:hint="eastAsia"/>
                <w:lang w:val="en-US" w:eastAsia="zh-CN"/>
              </w:rPr>
              <w:t>策划建立了《服务外包方管理制度》、《</w:t>
            </w:r>
            <w:r>
              <w:rPr>
                <w:rFonts w:hint="eastAsia" w:ascii="Times New Roman" w:hAnsi="Times New Roman" w:cs="Times New Roman"/>
                <w:color w:val="auto"/>
                <w:szCs w:val="22"/>
                <w:highlight w:val="none"/>
                <w:lang w:val="en-US" w:eastAsia="zh-CN"/>
              </w:rPr>
              <w:t>供方绩效准则</w:t>
            </w:r>
            <w:r>
              <w:rPr>
                <w:rFonts w:hint="eastAsia"/>
                <w:lang w:val="en-US" w:eastAsia="zh-CN"/>
              </w:rPr>
              <w:t>》等。</w:t>
            </w:r>
          </w:p>
          <w:p>
            <w:pPr>
              <w:rPr>
                <w:rFonts w:hint="eastAsia" w:asciiTheme="minorEastAsia" w:hAnsiTheme="minorEastAsia" w:eastAsiaTheme="minorEastAsia" w:cstheme="minorEastAsia"/>
                <w:sz w:val="21"/>
                <w:szCs w:val="21"/>
              </w:rPr>
            </w:pP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目标、指标及完成情况</w:t>
            </w:r>
          </w:p>
        </w:tc>
        <w:tc>
          <w:tcPr>
            <w:tcW w:w="965"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rPr>
                <w:rFonts w:hint="eastAsia" w:asciiTheme="minorEastAsia" w:hAnsiTheme="minorEastAsia" w:eastAsiaTheme="minorEastAsia" w:cstheme="minorEastAsia"/>
                <w:sz w:val="21"/>
                <w:szCs w:val="21"/>
              </w:rPr>
            </w:pPr>
          </w:p>
        </w:tc>
        <w:tc>
          <w:tcPr>
            <w:tcW w:w="10927" w:type="dxa"/>
            <w:vAlign w:val="top"/>
          </w:tcPr>
          <w:p>
            <w:pPr>
              <w:rPr>
                <w:rFonts w:hint="eastAsia" w:asciiTheme="minorEastAsia" w:hAnsiTheme="minorEastAsia" w:eastAsiaTheme="minorEastAsia" w:cstheme="minorEastAsia"/>
                <w:sz w:val="21"/>
                <w:szCs w:val="21"/>
              </w:rPr>
            </w:pPr>
            <w:r>
              <w:rPr>
                <w:rFonts w:hint="eastAsia"/>
                <w:color w:val="auto"/>
              </w:rPr>
              <w:t>部</w:t>
            </w:r>
            <w:r>
              <w:rPr>
                <w:rFonts w:hint="eastAsia" w:asciiTheme="minorEastAsia" w:hAnsiTheme="minorEastAsia" w:eastAsiaTheme="minorEastAsia" w:cstheme="minorEastAsia"/>
                <w:sz w:val="21"/>
                <w:szCs w:val="21"/>
              </w:rPr>
              <w:t xml:space="preserve">门质量目标：       </w:t>
            </w:r>
          </w:p>
          <w:tbl>
            <w:tblPr>
              <w:tblStyle w:val="17"/>
              <w:tblW w:w="10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678"/>
              <w:gridCol w:w="2678"/>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部门</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分目标</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考核方法</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统计结果（</w:t>
                  </w:r>
                  <w:r>
                    <w:rPr>
                      <w:rFonts w:hint="eastAsia" w:ascii="黑体" w:hAnsi="黑体" w:eastAsia="黑体" w:cs="黑体"/>
                      <w:lang w:val="en-US" w:eastAsia="zh-CN"/>
                    </w:rPr>
                    <w:t>1</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Merge w:val="restart"/>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lang w:eastAsia="zh-CN"/>
                    </w:rPr>
                    <w:t>拓展部</w:t>
                  </w:r>
                </w:p>
                <w:p>
                  <w:pPr>
                    <w:rPr>
                      <w:rFonts w:hint="eastAsia" w:asciiTheme="minorEastAsia" w:hAnsiTheme="minorEastAsia" w:eastAsiaTheme="minorEastAsia" w:cstheme="minorEastAsia"/>
                      <w:sz w:val="21"/>
                      <w:szCs w:val="21"/>
                      <w:vertAlign w:val="baseline"/>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rPr>
                    <w:t>1.合同履约率100%</w:t>
                  </w:r>
                </w:p>
              </w:tc>
              <w:tc>
                <w:tcPr>
                  <w:tcW w:w="2678" w:type="dxa"/>
                  <w:vAlign w:val="center"/>
                </w:tcPr>
                <w:p>
                  <w:pPr>
                    <w:spacing w:line="400" w:lineRule="exact"/>
                    <w:jc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rPr>
                    <w:t>履约率</w:t>
                  </w:r>
                  <w:r>
                    <w:rPr>
                      <w:rFonts w:hint="eastAsia" w:ascii="黑体" w:hAnsi="黑体" w:eastAsia="黑体" w:cs="黑体"/>
                      <w:bCs/>
                      <w:color w:val="000000"/>
                      <w:szCs w:val="21"/>
                    </w:rPr>
                    <w:t>＝</w:t>
                  </w:r>
                  <w:r>
                    <w:rPr>
                      <w:rFonts w:hint="eastAsia" w:ascii="黑体" w:hAnsi="黑体" w:eastAsia="黑体" w:cs="黑体"/>
                    </w:rPr>
                    <w:t>履约</w:t>
                  </w:r>
                  <w:r>
                    <w:rPr>
                      <w:rFonts w:hint="eastAsia" w:ascii="黑体" w:hAnsi="黑体" w:eastAsia="黑体" w:cs="黑体"/>
                      <w:bCs/>
                      <w:color w:val="000000"/>
                      <w:szCs w:val="21"/>
                    </w:rPr>
                    <w:t>数÷合同总数×100%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Merge w:val="continue"/>
                </w:tcPr>
                <w:p>
                  <w:pPr>
                    <w:rPr>
                      <w:rFonts w:hint="eastAsia" w:asciiTheme="minorEastAsia" w:hAnsiTheme="minorEastAsia" w:eastAsiaTheme="minorEastAsia" w:cstheme="minorEastAsia"/>
                      <w:sz w:val="21"/>
                      <w:szCs w:val="21"/>
                      <w:vertAlign w:val="baseline"/>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szCs w:val="21"/>
                    </w:rPr>
                    <w:t>2.</w:t>
                  </w:r>
                  <w:r>
                    <w:rPr>
                      <w:rFonts w:hint="eastAsia" w:ascii="黑体" w:hAnsi="黑体" w:eastAsia="黑体" w:cs="黑体"/>
                      <w:bCs/>
                      <w:snapToGrid w:val="0"/>
                      <w:color w:val="000000"/>
                      <w:kern w:val="0"/>
                      <w:szCs w:val="21"/>
                    </w:rPr>
                    <w:t xml:space="preserve"> 业主满意率</w:t>
                  </w:r>
                  <w:r>
                    <w:rPr>
                      <w:rFonts w:hint="eastAsia" w:ascii="黑体" w:hAnsi="黑体" w:eastAsia="黑体" w:cs="黑体"/>
                      <w:szCs w:val="21"/>
                    </w:rPr>
                    <w:t>≥</w:t>
                  </w:r>
                  <w:r>
                    <w:rPr>
                      <w:rFonts w:hint="eastAsia" w:ascii="黑体" w:hAnsi="黑体" w:eastAsia="黑体" w:cs="黑体"/>
                    </w:rPr>
                    <w:t>95%</w:t>
                  </w:r>
                </w:p>
              </w:tc>
              <w:tc>
                <w:tcPr>
                  <w:tcW w:w="2678" w:type="dxa"/>
                  <w:vAlign w:val="center"/>
                </w:tcPr>
                <w:p>
                  <w:pPr>
                    <w:spacing w:line="400" w:lineRule="exact"/>
                    <w:jc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rPr>
                    <w:t>满意率</w:t>
                  </w:r>
                  <w:r>
                    <w:rPr>
                      <w:rFonts w:hint="eastAsia" w:ascii="黑体" w:hAnsi="黑体" w:eastAsia="黑体" w:cs="黑体"/>
                      <w:bCs/>
                      <w:color w:val="000000"/>
                      <w:szCs w:val="21"/>
                    </w:rPr>
                    <w:t>＝总分数÷业主数×100%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Merge w:val="continue"/>
                </w:tcPr>
                <w:p>
                  <w:pPr>
                    <w:rPr>
                      <w:rFonts w:hint="eastAsia" w:asciiTheme="minorEastAsia" w:hAnsiTheme="minorEastAsia" w:eastAsiaTheme="minorEastAsia" w:cstheme="minorEastAsia"/>
                      <w:sz w:val="21"/>
                      <w:szCs w:val="21"/>
                      <w:vertAlign w:val="baseline"/>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bCs/>
                      <w:color w:val="000000"/>
                      <w:lang w:val="en-US" w:eastAsia="zh-CN"/>
                    </w:rPr>
                    <w:t>3</w:t>
                  </w:r>
                  <w:r>
                    <w:rPr>
                      <w:rFonts w:hint="eastAsia" w:ascii="黑体" w:hAnsi="黑体" w:eastAsia="黑体" w:cs="黑体"/>
                      <w:bCs/>
                      <w:color w:val="000000"/>
                    </w:rPr>
                    <w:t>.采购物资合格率100%</w:t>
                  </w:r>
                </w:p>
              </w:tc>
              <w:tc>
                <w:tcPr>
                  <w:tcW w:w="2678" w:type="dxa"/>
                  <w:vAlign w:val="center"/>
                </w:tcPr>
                <w:p>
                  <w:pPr>
                    <w:spacing w:line="400" w:lineRule="exact"/>
                    <w:jc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szCs w:val="21"/>
                    </w:rPr>
                    <w:t>合格率＝采购物资检验合格批次÷采购物资总批次×100%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Merge w:val="continue"/>
                </w:tcPr>
                <w:p>
                  <w:pPr>
                    <w:rPr>
                      <w:rFonts w:hint="eastAsia" w:asciiTheme="minorEastAsia" w:hAnsiTheme="minorEastAsia" w:eastAsiaTheme="minorEastAsia" w:cstheme="minorEastAsia"/>
                      <w:sz w:val="21"/>
                      <w:szCs w:val="21"/>
                      <w:vertAlign w:val="baseline"/>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bCs/>
                      <w:color w:val="000000"/>
                      <w:lang w:val="en-US" w:eastAsia="zh-CN"/>
                    </w:rPr>
                    <w:t>4</w:t>
                  </w:r>
                  <w:r>
                    <w:rPr>
                      <w:rFonts w:hint="eastAsia" w:ascii="黑体" w:hAnsi="黑体" w:eastAsia="黑体" w:cs="黑体"/>
                      <w:bCs/>
                      <w:color w:val="000000"/>
                    </w:rPr>
                    <w:t>.合格供方评定率100%</w:t>
                  </w:r>
                </w:p>
              </w:tc>
              <w:tc>
                <w:tcPr>
                  <w:tcW w:w="2678" w:type="dxa"/>
                  <w:vAlign w:val="center"/>
                </w:tcPr>
                <w:p>
                  <w:pPr>
                    <w:spacing w:line="400" w:lineRule="exact"/>
                    <w:jc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bCs/>
                      <w:color w:val="000000"/>
                      <w:szCs w:val="21"/>
                    </w:rPr>
                    <w:t>评定率＝合格供方评定数÷合格供方总数×100%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Merge w:val="continue"/>
                </w:tcPr>
                <w:p>
                  <w:pPr>
                    <w:rPr>
                      <w:rFonts w:hint="eastAsia" w:asciiTheme="minorEastAsia" w:hAnsiTheme="minorEastAsia" w:eastAsiaTheme="minorEastAsia" w:cstheme="minorEastAsia"/>
                      <w:sz w:val="21"/>
                      <w:szCs w:val="21"/>
                      <w:vertAlign w:val="baseline"/>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lang w:val="en-US" w:eastAsia="zh-CN"/>
                    </w:rPr>
                    <w:t>5</w:t>
                  </w:r>
                  <w:r>
                    <w:rPr>
                      <w:rFonts w:hint="eastAsia" w:ascii="黑体" w:hAnsi="黑体" w:eastAsia="黑体" w:cs="黑体"/>
                    </w:rPr>
                    <w:t>．办公场所分类处理各类废弃物，有专门收集箱并标识，100%分类回收处理.</w:t>
                  </w:r>
                </w:p>
              </w:tc>
              <w:tc>
                <w:tcPr>
                  <w:tcW w:w="2678" w:type="dxa"/>
                  <w:vAlign w:val="center"/>
                </w:tcPr>
                <w:p>
                  <w:pPr>
                    <w:pStyle w:val="8"/>
                    <w:spacing w:before="60" w:beforeLines="15" w:after="60" w:afterLines="15" w:line="0" w:lineRule="atLeast"/>
                    <w:ind w:left="420" w:leftChars="200"/>
                    <w:rPr>
                      <w:rFonts w:hint="eastAsia" w:ascii="黑体" w:hAnsi="黑体" w:eastAsia="黑体" w:cs="黑体"/>
                      <w:kern w:val="2"/>
                      <w:sz w:val="21"/>
                      <w:szCs w:val="21"/>
                      <w:lang w:val="en-US" w:eastAsia="zh-CN" w:bidi="ar-SA"/>
                    </w:rPr>
                  </w:pPr>
                  <w:r>
                    <w:rPr>
                      <w:rFonts w:hint="eastAsia" w:ascii="黑体" w:hAnsi="黑体" w:eastAsia="黑体" w:cs="黑体"/>
                      <w:bCs/>
                      <w:color w:val="000000"/>
                      <w:sz w:val="21"/>
                      <w:szCs w:val="21"/>
                    </w:rPr>
                    <w:t>处理率＝回收处理数÷应回处理总数×100%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bl>
          <w:p>
            <w:pPr>
              <w:pStyle w:val="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查</w:t>
            </w:r>
            <w:r>
              <w:rPr>
                <w:rFonts w:hint="eastAsia" w:asciiTheme="minorEastAsia" w:hAnsiTheme="minorEastAsia" w:eastAsiaTheme="minorEastAsia" w:cstheme="minorEastAsia"/>
                <w:sz w:val="21"/>
                <w:szCs w:val="21"/>
                <w:lang w:val="en-US" w:eastAsia="zh-CN"/>
              </w:rPr>
              <w:t>看2021年1-4月目标考核情况，已经达成目标。</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顾客沟通</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8.2.1</w:t>
            </w:r>
          </w:p>
        </w:tc>
        <w:tc>
          <w:tcPr>
            <w:tcW w:w="10927" w:type="dxa"/>
            <w:vAlign w:val="center"/>
          </w:tcPr>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与产品和服务要求有关的要求确定</w:t>
            </w:r>
          </w:p>
        </w:tc>
        <w:tc>
          <w:tcPr>
            <w:tcW w:w="965" w:type="dxa"/>
            <w:vAlign w:val="center"/>
          </w:tcPr>
          <w:p>
            <w:pPr>
              <w:tabs>
                <w:tab w:val="left" w:pos="341"/>
              </w:tabs>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eastAsia="zh-CN"/>
              </w:rPr>
              <w:tab/>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8.2.2</w:t>
            </w:r>
          </w:p>
        </w:tc>
        <w:tc>
          <w:tcPr>
            <w:tcW w:w="10927" w:type="dxa"/>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该公司主要</w:t>
            </w:r>
            <w:r>
              <w:rPr>
                <w:rFonts w:hint="eastAsia" w:asciiTheme="minorEastAsia" w:hAnsiTheme="minorEastAsia" w:eastAsiaTheme="minorEastAsia" w:cstheme="minorEastAsia"/>
                <w:color w:val="auto"/>
                <w:sz w:val="21"/>
                <w:szCs w:val="21"/>
                <w:lang w:eastAsia="zh-CN"/>
              </w:rPr>
              <w:t>涉及：</w:t>
            </w:r>
          </w:p>
          <w:p>
            <w:pPr>
              <w:rPr>
                <w:rFonts w:hint="eastAsia" w:eastAsia="宋体"/>
                <w:sz w:val="20"/>
                <w:lang w:eastAsia="zh-CN"/>
              </w:rPr>
            </w:pPr>
            <w:bookmarkStart w:id="0" w:name="审核范围"/>
            <w:r>
              <w:rPr>
                <w:sz w:val="20"/>
              </w:rPr>
              <w:t>Q：物业管理</w:t>
            </w:r>
            <w:r>
              <w:rPr>
                <w:rFonts w:hint="eastAsia"/>
                <w:sz w:val="20"/>
                <w:lang w:val="en-US" w:eastAsia="zh-CN"/>
              </w:rPr>
              <w:t xml:space="preserve">服务 </w:t>
            </w:r>
          </w:p>
          <w:p>
            <w:pPr>
              <w:rPr>
                <w:sz w:val="20"/>
              </w:rPr>
            </w:pPr>
            <w:r>
              <w:rPr>
                <w:sz w:val="20"/>
              </w:rPr>
              <w:t>E：物业管理</w:t>
            </w:r>
            <w:r>
              <w:rPr>
                <w:rFonts w:hint="eastAsia"/>
                <w:sz w:val="20"/>
                <w:lang w:val="en-US" w:eastAsia="zh-CN"/>
              </w:rPr>
              <w:t>服务</w:t>
            </w:r>
            <w:r>
              <w:rPr>
                <w:sz w:val="20"/>
              </w:rPr>
              <w:t>及相关环境活动</w:t>
            </w:r>
          </w:p>
          <w:p>
            <w:pPr>
              <w:rPr>
                <w:rFonts w:hint="eastAsia" w:asciiTheme="minorEastAsia" w:hAnsiTheme="minorEastAsia" w:eastAsiaTheme="minorEastAsia" w:cstheme="minorEastAsia"/>
                <w:color w:val="auto"/>
                <w:sz w:val="21"/>
                <w:szCs w:val="21"/>
              </w:rPr>
            </w:pPr>
            <w:r>
              <w:rPr>
                <w:sz w:val="20"/>
              </w:rPr>
              <w:t>O：物业管理</w:t>
            </w:r>
            <w:r>
              <w:rPr>
                <w:rFonts w:hint="eastAsia"/>
                <w:sz w:val="20"/>
                <w:lang w:val="en-US" w:eastAsia="zh-CN"/>
              </w:rPr>
              <w:t>服务</w:t>
            </w:r>
            <w:r>
              <w:rPr>
                <w:sz w:val="20"/>
              </w:rPr>
              <w:t>及相关职业健康安全管理活动</w:t>
            </w:r>
            <w:bookmarkEnd w:id="0"/>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主要依据合同法、国家法律法规、</w:t>
            </w:r>
            <w:r>
              <w:rPr>
                <w:rFonts w:hint="eastAsia" w:asciiTheme="minorEastAsia" w:hAnsiTheme="minorEastAsia" w:eastAsiaTheme="minorEastAsia" w:cstheme="minorEastAsia"/>
                <w:color w:val="auto"/>
                <w:sz w:val="21"/>
                <w:szCs w:val="21"/>
                <w:lang w:eastAsia="zh-CN"/>
              </w:rPr>
              <w:t>环境保护法、环境质量标准等</w:t>
            </w:r>
            <w:r>
              <w:rPr>
                <w:rFonts w:hint="eastAsia" w:asciiTheme="minorEastAsia" w:hAnsiTheme="minorEastAsia" w:eastAsiaTheme="minorEastAsia" w:cstheme="minorEastAsia"/>
                <w:color w:val="auto"/>
                <w:sz w:val="21"/>
                <w:szCs w:val="21"/>
              </w:rPr>
              <w:t>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w:t>
            </w:r>
            <w:r>
              <w:rPr>
                <w:rFonts w:hint="eastAsia" w:asciiTheme="minorEastAsia" w:hAnsiTheme="minorEastAsia" w:eastAsiaTheme="minorEastAsia" w:cstheme="minorEastAsia"/>
                <w:color w:val="auto"/>
                <w:sz w:val="21"/>
                <w:szCs w:val="21"/>
                <w:lang w:eastAsia="zh-CN"/>
              </w:rPr>
              <w:t>地方环保条例</w:t>
            </w:r>
            <w:r>
              <w:rPr>
                <w:rFonts w:hint="eastAsia" w:asciiTheme="minorEastAsia" w:hAnsiTheme="minorEastAsia" w:eastAsiaTheme="minorEastAsia" w:cstheme="minorEastAsia"/>
                <w:color w:val="auto"/>
                <w:sz w:val="21"/>
                <w:szCs w:val="21"/>
              </w:rPr>
              <w:t>等相关法律法规，将其中的相关要求作为与产品有关要求的补充。</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color w:val="auto"/>
                <w:sz w:val="21"/>
                <w:szCs w:val="21"/>
              </w:rPr>
              <w:t>该公司目前在服务提供过程中没有附加要求。</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center"/>
          </w:tcPr>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sz w:val="21"/>
                <w:szCs w:val="21"/>
                <w:highlight w:val="none"/>
              </w:rPr>
              <w:t>与产品和服务要求有关的要求评审</w:t>
            </w:r>
          </w:p>
        </w:tc>
        <w:tc>
          <w:tcPr>
            <w:tcW w:w="965"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8.2.3</w:t>
            </w:r>
          </w:p>
        </w:tc>
        <w:tc>
          <w:tcPr>
            <w:tcW w:w="10927" w:type="dxa"/>
            <w:vAlign w:val="center"/>
          </w:tcPr>
          <w:p>
            <w:pPr>
              <w:spacing w:line="360" w:lineRule="exact"/>
              <w:rPr>
                <w:rFonts w:hint="eastAsia"/>
              </w:rPr>
            </w:pPr>
            <w:r>
              <w:rPr>
                <w:rFonts w:hint="eastAsia"/>
              </w:rPr>
              <w:t>1）公司首先在合同中明确了顾客对技术服务的质量要求及技术标准、价格、交货方式、验收方式、货款结算方式等明示要求。</w:t>
            </w:r>
          </w:p>
          <w:p>
            <w:pPr>
              <w:spacing w:line="360" w:lineRule="exact"/>
              <w:rPr>
                <w:rFonts w:hint="eastAsia"/>
              </w:rPr>
            </w:pPr>
            <w:r>
              <w:rPr>
                <w:rFonts w:hint="eastAsia"/>
              </w:rPr>
              <w:t>2）确定了技术服务的法律法规要求（技术服务标准等要求）、售后服务等。</w:t>
            </w:r>
          </w:p>
          <w:p>
            <w:pPr>
              <w:rPr>
                <w:rFonts w:hint="eastAsia"/>
              </w:rPr>
            </w:pPr>
            <w:r>
              <w:rPr>
                <w:rFonts w:hint="eastAsia"/>
              </w:rPr>
              <w:t>3）该公司与产品有关要求主要在合同中体现，在合同签订之前，由总经理组织各相关部门以会议或会签的方式进行评审。</w:t>
            </w:r>
          </w:p>
          <w:p>
            <w:pPr>
              <w:ind w:firstLine="420" w:firstLineChars="200"/>
              <w:rPr>
                <w:rFonts w:hint="eastAsia"/>
              </w:rPr>
            </w:pPr>
            <w:r>
              <w:rPr>
                <w:rFonts w:hint="eastAsia"/>
              </w:rPr>
              <w:t>见《合同台帐》，内容包括：序号、顾客名称、合同编号、项目名称、规格型号、评审日期、签定日期、履行情况。</w:t>
            </w:r>
          </w:p>
          <w:p>
            <w:pPr>
              <w:rPr>
                <w:rFonts w:hint="eastAsia"/>
              </w:rPr>
            </w:pPr>
            <w:r>
              <w:rPr>
                <w:rFonts w:hint="eastAsia"/>
              </w:rPr>
              <w:t>抽查销售合同情况</w:t>
            </w:r>
          </w:p>
          <w:p>
            <w:pPr>
              <w:numPr>
                <w:ilvl w:val="0"/>
                <w:numId w:val="2"/>
              </w:numPr>
              <w:rPr>
                <w:rFonts w:hint="eastAsia"/>
                <w:lang w:val="en-US" w:eastAsia="zh-CN"/>
              </w:rPr>
            </w:pPr>
            <w:r>
              <w:rPr>
                <w:rFonts w:hint="eastAsia"/>
                <w:lang w:val="en-US" w:eastAsia="zh-CN"/>
              </w:rPr>
              <w:t>上城区行政中心物业服务委托合同  单位名称：杭州市上城区机关事务中心，2020年11月5日签订。</w:t>
            </w:r>
          </w:p>
          <w:p>
            <w:pPr>
              <w:numPr>
                <w:ilvl w:val="0"/>
                <w:numId w:val="0"/>
              </w:numPr>
              <w:rPr>
                <w:rFonts w:hint="eastAsia"/>
                <w:lang w:val="en-US" w:eastAsia="zh-CN"/>
              </w:rPr>
            </w:pPr>
            <w:r>
              <w:rPr>
                <w:rFonts w:hint="eastAsia"/>
                <w:lang w:val="en-US" w:eastAsia="zh-CN"/>
              </w:rPr>
              <w:t>2020年8月8日合同评审，由拓展部发起，办公室核查、李国虹分管审批、总经理意见王建军。</w:t>
            </w:r>
          </w:p>
          <w:p>
            <w:pPr>
              <w:numPr>
                <w:ilvl w:val="0"/>
                <w:numId w:val="2"/>
              </w:numPr>
              <w:ind w:left="0" w:leftChars="0" w:firstLine="0" w:firstLineChars="0"/>
              <w:rPr>
                <w:rFonts w:hint="eastAsia" w:eastAsia="宋体"/>
                <w:lang w:val="en-US" w:eastAsia="zh-CN"/>
              </w:rPr>
            </w:pPr>
            <w:r>
              <w:rPr>
                <w:rFonts w:hint="eastAsia" w:eastAsia="宋体"/>
                <w:lang w:val="en-US" w:eastAsia="zh-CN"/>
              </w:rPr>
              <w:t>杭州市上城区农居多层公寓建设管理中心，物业范围：婺江三园，签订日期，2021年1月4日</w:t>
            </w:r>
          </w:p>
          <w:p>
            <w:pPr>
              <w:numPr>
                <w:ilvl w:val="0"/>
                <w:numId w:val="0"/>
              </w:numPr>
              <w:ind w:leftChars="0"/>
              <w:rPr>
                <w:rFonts w:hint="default" w:eastAsia="宋体"/>
                <w:lang w:val="en-US" w:eastAsia="zh-CN"/>
              </w:rPr>
            </w:pPr>
            <w:r>
              <w:rPr>
                <w:rFonts w:hint="eastAsia" w:eastAsia="宋体"/>
                <w:lang w:val="en-US" w:eastAsia="zh-CN"/>
              </w:rPr>
              <w:t>2021年1月3日合同评审，</w:t>
            </w:r>
            <w:r>
              <w:rPr>
                <w:rFonts w:hint="eastAsia"/>
                <w:lang w:val="en-US" w:eastAsia="zh-CN"/>
              </w:rPr>
              <w:t>由拓展部发起，办公室核查、李国虹分管审批、总经理意见王建军。</w:t>
            </w:r>
          </w:p>
          <w:p>
            <w:pPr>
              <w:numPr>
                <w:ilvl w:val="0"/>
                <w:numId w:val="2"/>
              </w:numPr>
              <w:ind w:left="0" w:leftChars="0" w:firstLine="0" w:firstLineChars="0"/>
              <w:rPr>
                <w:rFonts w:hint="default" w:eastAsia="宋体"/>
                <w:lang w:val="en-US" w:eastAsia="zh-CN"/>
              </w:rPr>
            </w:pPr>
            <w:r>
              <w:rPr>
                <w:rFonts w:hint="eastAsia" w:eastAsia="宋体"/>
                <w:lang w:val="en-US" w:eastAsia="zh-CN"/>
              </w:rPr>
              <w:t>杭州市上城区小营街道紫金社区， 物业范围 上城区皮市巷123、125、127号住宅楼</w:t>
            </w:r>
          </w:p>
          <w:p>
            <w:pPr>
              <w:numPr>
                <w:ilvl w:val="0"/>
                <w:numId w:val="0"/>
              </w:numPr>
              <w:ind w:leftChars="0"/>
              <w:rPr>
                <w:rFonts w:hint="eastAsia"/>
                <w:lang w:val="en-US" w:eastAsia="zh-CN"/>
              </w:rPr>
            </w:pPr>
            <w:r>
              <w:rPr>
                <w:rFonts w:hint="eastAsia" w:eastAsia="宋体"/>
                <w:lang w:val="en-US" w:eastAsia="zh-CN"/>
              </w:rPr>
              <w:t>涉及内容：工程维修（亮灯、墙体、下水管道）、环境保洁、停车管理、停车防范等，2021年3月26日-2022年3月25日，签订日期 2021年3月26日，</w:t>
            </w:r>
            <w:r>
              <w:rPr>
                <w:rFonts w:hint="eastAsia"/>
                <w:lang w:val="en-US" w:eastAsia="zh-CN"/>
              </w:rPr>
              <w:t>合同评审日期： 2021年3月26日。</w:t>
            </w:r>
          </w:p>
          <w:p>
            <w:pPr>
              <w:numPr>
                <w:ilvl w:val="0"/>
                <w:numId w:val="2"/>
              </w:numPr>
              <w:ind w:left="0" w:leftChars="0" w:firstLine="0" w:firstLineChars="0"/>
              <w:rPr>
                <w:rFonts w:hint="eastAsia"/>
                <w:lang w:val="en-US" w:eastAsia="zh-CN"/>
              </w:rPr>
            </w:pPr>
            <w:r>
              <w:rPr>
                <w:rFonts w:hint="eastAsia"/>
                <w:lang w:val="en-US" w:eastAsia="zh-CN"/>
              </w:rPr>
              <w:t>杭州市上城区人民法院物业服务合同，甲方：杭州市上城区人民法院，服务范围：物业服务、保洁、保安服务、工程维修 ，签订日期2020年12月15日，合同评审日期： 2020年12月11日。</w:t>
            </w:r>
          </w:p>
          <w:p>
            <w:pPr>
              <w:numPr>
                <w:ilvl w:val="0"/>
                <w:numId w:val="2"/>
              </w:numPr>
              <w:ind w:left="0" w:leftChars="0" w:firstLine="0" w:firstLineChars="0"/>
              <w:rPr>
                <w:rFonts w:hint="default"/>
                <w:lang w:val="en-US" w:eastAsia="zh-CN"/>
              </w:rPr>
            </w:pPr>
            <w:r>
              <w:rPr>
                <w:rFonts w:hint="eastAsia"/>
                <w:lang w:val="en-US" w:eastAsia="zh-CN"/>
              </w:rPr>
              <w:t>杭州市近江六园物业服务中心 ，服务时间 2020年8月1日-2023年7月31日，委托方：杭州上城区近江家园刘元业主委员会。2020年12月19日 签订，合同评审日期： 2020年12月11日。</w:t>
            </w:r>
          </w:p>
          <w:p>
            <w:pPr>
              <w:spacing w:line="360" w:lineRule="exact"/>
              <w:rPr>
                <w:rFonts w:hint="eastAsia"/>
              </w:rPr>
            </w:pPr>
            <w:r>
              <w:rPr>
                <w:rFonts w:hint="eastAsia"/>
              </w:rPr>
              <w:t>以上合同均规定了技术服务内容、双方的权利义务、服务交付方式等内容、交付期等内容，</w:t>
            </w:r>
          </w:p>
          <w:p>
            <w:pPr>
              <w:spacing w:line="360" w:lineRule="exact"/>
              <w:rPr>
                <w:rFonts w:hint="eastAsia"/>
              </w:rPr>
            </w:pPr>
            <w:r>
              <w:rPr>
                <w:rFonts w:hint="eastAsia"/>
              </w:rPr>
              <w:t>顾客要求明确 。均有双方法人签字和加盖的公章</w:t>
            </w:r>
          </w:p>
          <w:p>
            <w:pPr>
              <w:ind w:firstLine="420" w:firstLineChars="200"/>
              <w:rPr>
                <w:rFonts w:hint="eastAsia"/>
              </w:rPr>
            </w:pPr>
            <w:r>
              <w:rPr>
                <w:rFonts w:hint="eastAsia"/>
              </w:rPr>
              <w:t>见以上《合同评审</w:t>
            </w:r>
            <w:r>
              <w:rPr>
                <w:rFonts w:hint="eastAsia"/>
                <w:lang w:val="en-US" w:eastAsia="zh-CN"/>
              </w:rPr>
              <w:t>登记</w:t>
            </w:r>
            <w:r>
              <w:rPr>
                <w:rFonts w:hint="eastAsia"/>
              </w:rPr>
              <w:t>表》，评审内容包括对服务交付方式、交付能力、质量要求等进行了评审，认为可以满足。有总经理签字。同意签订合同。</w:t>
            </w:r>
          </w:p>
          <w:p>
            <w:pPr>
              <w:pStyle w:val="20"/>
              <w:rPr>
                <w:rFonts w:hint="default" w:asciiTheme="minorEastAsia" w:hAnsiTheme="minorEastAsia" w:eastAsiaTheme="minorEastAsia" w:cstheme="minorEastAsia"/>
                <w:color w:val="auto"/>
                <w:sz w:val="21"/>
                <w:szCs w:val="21"/>
                <w:highlight w:val="none"/>
                <w:lang w:val="en-US" w:eastAsia="zh-CN"/>
              </w:rPr>
            </w:pP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8.2.4</w:t>
            </w:r>
          </w:p>
        </w:tc>
        <w:tc>
          <w:tcPr>
            <w:tcW w:w="10927" w:type="dxa"/>
            <w:vAlign w:val="center"/>
          </w:tcPr>
          <w:p>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top"/>
          </w:tcPr>
          <w:p>
            <w:pPr>
              <w:spacing w:line="360" w:lineRule="auto"/>
              <w:jc w:val="both"/>
              <w:rPr>
                <w:rFonts w:hint="eastAsia"/>
                <w:highlight w:val="none"/>
              </w:rPr>
            </w:pPr>
            <w:r>
              <w:rPr>
                <w:rFonts w:hint="eastAsia"/>
                <w:highlight w:val="none"/>
              </w:rPr>
              <w:t>外部提供过程、产品和服务的控制</w:t>
            </w: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pStyle w:val="20"/>
              <w:jc w:val="both"/>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分包管理</w:t>
            </w:r>
          </w:p>
          <w:p>
            <w:pPr>
              <w:pStyle w:val="20"/>
              <w:jc w:val="both"/>
              <w:rPr>
                <w:rFonts w:hint="eastAsia" w:asciiTheme="minorEastAsia" w:hAnsiTheme="minorEastAsia" w:eastAsiaTheme="minorEastAsia" w:cstheme="minorEastAsia"/>
                <w:bCs/>
                <w:spacing w:val="10"/>
                <w:kern w:val="2"/>
                <w:sz w:val="21"/>
                <w:szCs w:val="21"/>
                <w:highlight w:val="none"/>
                <w:lang w:val="en-US" w:eastAsia="zh-CN" w:bidi="ar-SA"/>
              </w:rPr>
            </w:pPr>
          </w:p>
        </w:tc>
        <w:tc>
          <w:tcPr>
            <w:tcW w:w="965" w:type="dxa"/>
            <w:vAlign w:val="top"/>
          </w:tcPr>
          <w:p>
            <w:pPr>
              <w:spacing w:line="360" w:lineRule="auto"/>
              <w:jc w:val="both"/>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Q8.4</w:t>
            </w:r>
          </w:p>
          <w:p>
            <w:pPr>
              <w:pStyle w:val="20"/>
              <w:rPr>
                <w:rFonts w:hint="default"/>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O8.1.4</w:t>
            </w:r>
          </w:p>
          <w:p>
            <w:pPr>
              <w:pStyle w:val="20"/>
              <w:rPr>
                <w:rFonts w:hint="eastAsia"/>
                <w:highlight w:val="none"/>
                <w:lang w:val="en-US" w:eastAsia="zh-CN"/>
              </w:rPr>
            </w:pPr>
          </w:p>
          <w:p>
            <w:pPr>
              <w:spacing w:line="360" w:lineRule="auto"/>
              <w:ind w:firstLine="308" w:firstLineChars="147"/>
              <w:jc w:val="both"/>
              <w:rPr>
                <w:rFonts w:hint="eastAsia" w:asciiTheme="minorEastAsia" w:hAnsiTheme="minorEastAsia" w:eastAsiaTheme="minorEastAsia" w:cstheme="minorEastAsia"/>
                <w:kern w:val="2"/>
                <w:sz w:val="21"/>
                <w:szCs w:val="21"/>
                <w:highlight w:val="none"/>
                <w:lang w:val="en-US" w:eastAsia="zh-CN" w:bidi="ar-SA"/>
              </w:rPr>
            </w:pPr>
          </w:p>
        </w:tc>
        <w:tc>
          <w:tcPr>
            <w:tcW w:w="10927" w:type="dxa"/>
            <w:vAlign w:val="center"/>
          </w:tcPr>
          <w:p>
            <w:pPr>
              <w:pStyle w:val="20"/>
              <w:ind w:firstLine="230" w:firstLineChars="10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color w:val="auto"/>
                <w:szCs w:val="21"/>
                <w:highlight w:val="none"/>
              </w:rPr>
              <w:t>编制了</w:t>
            </w:r>
            <w:r>
              <w:rPr>
                <w:rFonts w:hint="eastAsia" w:ascii="宋体" w:hAnsi="宋体" w:eastAsia="宋体" w:cs="宋体"/>
                <w:color w:val="auto"/>
                <w:sz w:val="21"/>
                <w:szCs w:val="21"/>
                <w:lang w:eastAsia="zh-CN"/>
              </w:rPr>
              <w:t>CN</w:t>
            </w:r>
            <w:r>
              <w:rPr>
                <w:rFonts w:hint="eastAsia" w:ascii="宋体" w:hAnsi="宋体" w:eastAsia="宋体" w:cs="宋体"/>
                <w:color w:val="auto"/>
                <w:sz w:val="21"/>
                <w:szCs w:val="21"/>
              </w:rPr>
              <w:t>/QEOP12</w:t>
            </w:r>
            <w:r>
              <w:rPr>
                <w:rFonts w:hint="eastAsia" w:ascii="Times New Roman" w:hAnsi="Times New Roman" w:cs="Times New Roman"/>
                <w:color w:val="auto"/>
                <w:szCs w:val="22"/>
                <w:highlight w:val="none"/>
                <w:lang w:val="en-US" w:eastAsia="zh-CN"/>
              </w:rPr>
              <w:t>《</w:t>
            </w:r>
            <w:r>
              <w:rPr>
                <w:rFonts w:hint="eastAsia" w:ascii="宋体" w:hAnsi="宋体" w:eastAsia="宋体" w:cs="宋体"/>
                <w:color w:val="auto"/>
                <w:sz w:val="21"/>
                <w:szCs w:val="21"/>
              </w:rPr>
              <w:t>采购控制程序</w:t>
            </w:r>
            <w:r>
              <w:rPr>
                <w:rFonts w:hint="eastAsia" w:ascii="Times New Roman" w:hAnsi="Times New Roman" w:cs="Times New Roman"/>
                <w:color w:val="auto"/>
                <w:szCs w:val="22"/>
                <w:highlight w:val="none"/>
                <w:lang w:val="en-US" w:eastAsia="zh-CN"/>
              </w:rPr>
              <w:t>》，也制定了《供方绩效准则》</w:t>
            </w:r>
            <w:r>
              <w:rPr>
                <w:rFonts w:hint="eastAsia"/>
                <w:color w:val="auto"/>
                <w:szCs w:val="21"/>
                <w:highlight w:val="none"/>
              </w:rPr>
              <w:t>明确了根据</w:t>
            </w:r>
            <w:r>
              <w:rPr>
                <w:rFonts w:hint="eastAsia"/>
                <w:color w:val="auto"/>
                <w:szCs w:val="21"/>
                <w:highlight w:val="none"/>
                <w:lang w:val="en-US" w:eastAsia="zh-CN"/>
              </w:rPr>
              <w:t>派交</w:t>
            </w:r>
            <w:r>
              <w:rPr>
                <w:rFonts w:hint="eastAsia"/>
                <w:color w:val="auto"/>
                <w:szCs w:val="21"/>
                <w:highlight w:val="none"/>
              </w:rPr>
              <w:t>单，编制</w:t>
            </w:r>
            <w:r>
              <w:rPr>
                <w:rFonts w:hint="eastAsia"/>
                <w:color w:val="auto"/>
                <w:szCs w:val="21"/>
                <w:highlight w:val="none"/>
                <w:lang w:val="en-US" w:eastAsia="zh-CN"/>
              </w:rPr>
              <w:t>采购单</w:t>
            </w:r>
            <w:r>
              <w:rPr>
                <w:rFonts w:hint="eastAsia"/>
                <w:color w:val="auto"/>
                <w:szCs w:val="21"/>
                <w:highlight w:val="none"/>
              </w:rPr>
              <w:t>。对</w:t>
            </w:r>
            <w:r>
              <w:rPr>
                <w:rFonts w:hint="eastAsia"/>
                <w:color w:val="auto"/>
                <w:szCs w:val="21"/>
                <w:highlight w:val="none"/>
                <w:lang w:val="en-US" w:eastAsia="zh-CN"/>
              </w:rPr>
              <w:t>供方</w:t>
            </w:r>
            <w:r>
              <w:rPr>
                <w:rFonts w:hint="eastAsia"/>
                <w:color w:val="auto"/>
                <w:szCs w:val="21"/>
                <w:highlight w:val="none"/>
              </w:rPr>
              <w:t>进行定期评价，内容包括：</w:t>
            </w:r>
            <w:r>
              <w:rPr>
                <w:rFonts w:hint="eastAsia"/>
                <w:color w:val="auto"/>
                <w:szCs w:val="21"/>
                <w:highlight w:val="none"/>
                <w:lang w:val="en-US" w:eastAsia="zh-CN"/>
              </w:rPr>
              <w:t>供方规模、市场信誉、供货能力；供方的供货期、付款方式；供方质量保证能力</w:t>
            </w:r>
            <w:r>
              <w:rPr>
                <w:rFonts w:hint="eastAsia"/>
                <w:color w:val="auto"/>
                <w:szCs w:val="21"/>
                <w:highlight w:val="none"/>
              </w:rPr>
              <w:t>等内容。经由总经理确认后，纳入公司合格供方。</w:t>
            </w:r>
          </w:p>
          <w:p>
            <w:pPr>
              <w:pStyle w:val="2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提供供应商评审表：包括供应商名称、种类、物料来源（制造商）、企业负责人、业务联系方式、评鉴方式、评鉴意见（相关部门）等内容。</w:t>
            </w:r>
          </w:p>
          <w:p>
            <w:pPr>
              <w:pStyle w:val="2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提供的供货商包括：</w:t>
            </w:r>
          </w:p>
          <w:p>
            <w:pPr>
              <w:pStyle w:val="20"/>
              <w:rPr>
                <w:rFonts w:hint="eastAsia" w:asciiTheme="minorEastAsia" w:hAnsiTheme="minorEastAsia" w:eastAsiaTheme="minorEastAsia" w:cstheme="minorEastAsia"/>
                <w:bCs w:val="0"/>
                <w:spacing w:val="0"/>
                <w:kern w:val="2"/>
                <w:sz w:val="21"/>
                <w:szCs w:val="21"/>
                <w:highlight w:val="none"/>
                <w:lang w:val="en-US" w:eastAsia="zh-CN" w:bidi="ar-SA"/>
              </w:rPr>
            </w:pPr>
            <w:r>
              <w:drawing>
                <wp:inline distT="0" distB="0" distL="114300" distR="114300">
                  <wp:extent cx="6791325" cy="4217035"/>
                  <wp:effectExtent l="0" t="0" r="952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791325" cy="4217035"/>
                          </a:xfrm>
                          <a:prstGeom prst="rect">
                            <a:avLst/>
                          </a:prstGeom>
                          <a:noFill/>
                          <a:ln>
                            <a:noFill/>
                          </a:ln>
                        </pic:spPr>
                      </pic:pic>
                    </a:graphicData>
                  </a:graphic>
                </wp:inline>
              </w:drawing>
            </w:r>
          </w:p>
          <w:p>
            <w:pPr>
              <w:pStyle w:val="2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对供应商进行评审，建立合格供应商清单。符合要求。</w:t>
            </w:r>
          </w:p>
          <w:p>
            <w:pPr>
              <w:pStyle w:val="20"/>
              <w:rPr>
                <w:rFonts w:hint="default"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 xml:space="preserve">                                                                                                                                                    </w:t>
            </w:r>
          </w:p>
          <w:p>
            <w:pPr>
              <w:pStyle w:val="2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采购产品，由采购部按合同核对数量、材质单、合格证，验证规格、型号后，在入库单上签字。</w:t>
            </w:r>
          </w:p>
          <w:p>
            <w:pPr>
              <w:pStyle w:val="20"/>
              <w:rPr>
                <w:rFonts w:hint="default"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 xml:space="preserve">——查采购产品的数量； </w:t>
            </w:r>
          </w:p>
          <w:p>
            <w:pPr>
              <w:pStyle w:val="20"/>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分包项目主要为物业管理过程中的电梯维保、消防设施的维保、垃圾清运、绿植外包，抽查消防设施的维保分包方为：杭州警正安全科技有限公司；</w:t>
            </w:r>
          </w:p>
          <w:p>
            <w:pPr>
              <w:pStyle w:val="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提供评价材料：</w:t>
            </w:r>
          </w:p>
          <w:p>
            <w:pPr>
              <w:pStyle w:val="20"/>
              <w:numPr>
                <w:ilvl w:val="0"/>
                <w:numId w:val="3"/>
              </w:numPr>
              <w:ind w:left="190" w:leftChars="0" w:firstLine="23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服务许可证； </w:t>
            </w:r>
          </w:p>
          <w:p>
            <w:pPr>
              <w:pStyle w:val="20"/>
              <w:numPr>
                <w:ilvl w:val="0"/>
                <w:numId w:val="3"/>
              </w:numPr>
              <w:ind w:left="190" w:leftChars="0" w:firstLine="23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营业执照； </w:t>
            </w:r>
          </w:p>
          <w:p>
            <w:pPr>
              <w:pStyle w:val="20"/>
              <w:numPr>
                <w:ilvl w:val="0"/>
                <w:numId w:val="3"/>
              </w:numPr>
              <w:ind w:left="190" w:leftChars="0" w:firstLine="23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服务协议书</w:t>
            </w:r>
          </w:p>
          <w:p>
            <w:pPr>
              <w:pStyle w:val="20"/>
              <w:numPr>
                <w:ilvl w:val="0"/>
                <w:numId w:val="0"/>
              </w:numPr>
              <w:ind w:left="420" w:leftChars="0"/>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drawing>
                <wp:inline distT="0" distB="0" distL="114300" distR="114300">
                  <wp:extent cx="5311775" cy="3983990"/>
                  <wp:effectExtent l="0" t="0" r="3175" b="16510"/>
                  <wp:docPr id="4" name="图片 4" descr="cc9de0fb05e1b8e3ca278986aca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9de0fb05e1b8e3ca278986aca0364"/>
                          <pic:cNvPicPr>
                            <a:picLocks noChangeAspect="1"/>
                          </pic:cNvPicPr>
                        </pic:nvPicPr>
                        <pic:blipFill>
                          <a:blip r:embed="rId7"/>
                          <a:stretch>
                            <a:fillRect/>
                          </a:stretch>
                        </pic:blipFill>
                        <pic:spPr>
                          <a:xfrm>
                            <a:off x="0" y="0"/>
                            <a:ext cx="5311775" cy="3983990"/>
                          </a:xfrm>
                          <a:prstGeom prst="rect">
                            <a:avLst/>
                          </a:prstGeom>
                        </pic:spPr>
                      </pic:pic>
                    </a:graphicData>
                  </a:graphic>
                </wp:inline>
              </w:drawing>
            </w:r>
            <w:r>
              <w:rPr>
                <w:rFonts w:hint="default" w:asciiTheme="minorEastAsia" w:hAnsiTheme="minorEastAsia" w:eastAsiaTheme="minorEastAsia" w:cstheme="minorEastAsia"/>
                <w:color w:val="auto"/>
                <w:sz w:val="21"/>
                <w:szCs w:val="21"/>
                <w:highlight w:val="none"/>
                <w:lang w:val="en-US" w:eastAsia="zh-CN"/>
              </w:rPr>
              <w:drawing>
                <wp:inline distT="0" distB="0" distL="114300" distR="114300">
                  <wp:extent cx="5395595" cy="4046855"/>
                  <wp:effectExtent l="0" t="0" r="14605" b="10795"/>
                  <wp:docPr id="5" name="图片 5" descr="8465e1acdcbd39a695852ac6e8e0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465e1acdcbd39a695852ac6e8e054b"/>
                          <pic:cNvPicPr>
                            <a:picLocks noChangeAspect="1"/>
                          </pic:cNvPicPr>
                        </pic:nvPicPr>
                        <pic:blipFill>
                          <a:blip r:embed="rId8"/>
                          <a:stretch>
                            <a:fillRect/>
                          </a:stretch>
                        </pic:blipFill>
                        <pic:spPr>
                          <a:xfrm>
                            <a:off x="0" y="0"/>
                            <a:ext cx="5395595" cy="4046855"/>
                          </a:xfrm>
                          <a:prstGeom prst="rect">
                            <a:avLst/>
                          </a:prstGeom>
                        </pic:spPr>
                      </pic:pic>
                    </a:graphicData>
                  </a:graphic>
                </wp:inline>
              </w:drawing>
            </w:r>
            <w:r>
              <w:rPr>
                <w:rFonts w:hint="default" w:asciiTheme="minorEastAsia" w:hAnsiTheme="minorEastAsia" w:eastAsiaTheme="minorEastAsia" w:cstheme="minorEastAsia"/>
                <w:color w:val="auto"/>
                <w:sz w:val="21"/>
                <w:szCs w:val="21"/>
                <w:highlight w:val="none"/>
                <w:lang w:val="en-US" w:eastAsia="zh-CN"/>
              </w:rPr>
              <w:drawing>
                <wp:inline distT="0" distB="0" distL="114300" distR="114300">
                  <wp:extent cx="5093335" cy="3820160"/>
                  <wp:effectExtent l="0" t="0" r="12065" b="8890"/>
                  <wp:docPr id="6" name="图片 6" descr="163bc02535500556c392c905e5a1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bc02535500556c392c905e5a1ff0"/>
                          <pic:cNvPicPr>
                            <a:picLocks noChangeAspect="1"/>
                          </pic:cNvPicPr>
                        </pic:nvPicPr>
                        <pic:blipFill>
                          <a:blip r:embed="rId9"/>
                          <a:stretch>
                            <a:fillRect/>
                          </a:stretch>
                        </pic:blipFill>
                        <pic:spPr>
                          <a:xfrm>
                            <a:off x="0" y="0"/>
                            <a:ext cx="5093335" cy="3820160"/>
                          </a:xfrm>
                          <a:prstGeom prst="rect">
                            <a:avLst/>
                          </a:prstGeom>
                        </pic:spPr>
                      </pic:pic>
                    </a:graphicData>
                  </a:graphic>
                </wp:inline>
              </w:drawing>
            </w:r>
          </w:p>
          <w:p>
            <w:pPr>
              <w:pStyle w:val="20"/>
              <w:rPr>
                <w:rFonts w:hint="default" w:asciiTheme="minorEastAsia" w:hAnsiTheme="minorEastAsia" w:eastAsiaTheme="minorEastAsia" w:cstheme="minorEastAsia"/>
                <w:bCs/>
                <w:color w:val="auto"/>
                <w:spacing w:val="10"/>
                <w:kern w:val="2"/>
                <w:sz w:val="21"/>
                <w:szCs w:val="21"/>
                <w:highlight w:val="red"/>
                <w:lang w:val="en-US" w:eastAsia="zh-CN" w:bidi="ar-SA"/>
              </w:rPr>
            </w:pPr>
            <w:r>
              <w:rPr>
                <w:rFonts w:hint="eastAsia" w:asciiTheme="minorEastAsia" w:hAnsiTheme="minorEastAsia" w:eastAsiaTheme="minorEastAsia" w:cstheme="minorEastAsia"/>
                <w:color w:val="auto"/>
                <w:sz w:val="21"/>
                <w:szCs w:val="21"/>
                <w:highlight w:val="none"/>
                <w:lang w:val="en-US" w:eastAsia="zh-CN"/>
              </w:rPr>
              <w:t>基本符合要求</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default" w:ascii="宋体" w:hAnsi="宋体" w:eastAsia="宋体" w:cs="Arial"/>
                <w:sz w:val="21"/>
                <w:szCs w:val="21"/>
                <w:lang w:val="en-US" w:eastAsia="zh-CN"/>
              </w:rPr>
            </w:pPr>
            <w:r>
              <w:rPr>
                <w:rFonts w:hint="eastAsia" w:ascii="宋体" w:hAnsi="宋体" w:cs="Arial"/>
                <w:sz w:val="21"/>
                <w:szCs w:val="21"/>
                <w:lang w:val="en-US" w:eastAsia="zh-CN"/>
              </w:rPr>
              <w:t>服务交付后活动</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default" w:ascii="宋体" w:hAnsi="宋体" w:eastAsia="宋体" w:cs="Arial"/>
                <w:sz w:val="21"/>
                <w:szCs w:val="21"/>
                <w:lang w:val="en-US" w:eastAsia="zh-CN"/>
              </w:rPr>
            </w:pPr>
            <w:r>
              <w:rPr>
                <w:rFonts w:hint="eastAsia" w:ascii="宋体" w:hAnsi="宋体" w:eastAsia="宋体" w:cs="Arial"/>
                <w:sz w:val="21"/>
                <w:szCs w:val="21"/>
              </w:rPr>
              <w:t>8.</w:t>
            </w:r>
            <w:r>
              <w:rPr>
                <w:rFonts w:hint="eastAsia" w:ascii="宋体" w:hAnsi="宋体" w:cs="Arial"/>
                <w:sz w:val="21"/>
                <w:szCs w:val="21"/>
                <w:lang w:val="en-US" w:eastAsia="zh-CN"/>
              </w:rPr>
              <w:t>5.5</w:t>
            </w:r>
          </w:p>
        </w:tc>
        <w:tc>
          <w:tcPr>
            <w:tcW w:w="10927" w:type="dxa"/>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签订合同后为长期服务合同； 日常服务提供过程中接收客户反馈信息；持续改进</w:t>
            </w:r>
            <w:bookmarkStart w:id="1" w:name="_GoBack"/>
            <w:bookmarkEnd w:id="1"/>
            <w:r>
              <w:rPr>
                <w:rFonts w:hint="eastAsia" w:asciiTheme="minorEastAsia" w:hAnsiTheme="minorEastAsia" w:eastAsiaTheme="minorEastAsia" w:cstheme="minorEastAsia"/>
                <w:color w:val="auto"/>
                <w:sz w:val="21"/>
                <w:szCs w:val="21"/>
                <w:lang w:val="en-US" w:eastAsia="zh-CN"/>
              </w:rPr>
              <w:t>日常服务工作。</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9.1.2</w:t>
            </w:r>
          </w:p>
        </w:tc>
        <w:tc>
          <w:tcPr>
            <w:tcW w:w="10927" w:type="dxa"/>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提供“顾客满意程度调查表”，调查主要内容：</w:t>
            </w:r>
            <w:r>
              <w:rPr>
                <w:rFonts w:hint="eastAsia" w:asciiTheme="minorEastAsia" w:hAnsiTheme="minorEastAsia" w:eastAsiaTheme="minorEastAsia" w:cstheme="minorEastAsia"/>
                <w:color w:val="auto"/>
                <w:sz w:val="21"/>
                <w:szCs w:val="21"/>
              </w:rPr>
              <w:t>质量、价格、外观、服务等方面的满意程度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w:t>
            </w:r>
            <w:r>
              <w:rPr>
                <w:rFonts w:hint="eastAsia" w:asciiTheme="minorEastAsia" w:hAnsiTheme="minorEastAsia" w:eastAsiaTheme="minorEastAsia" w:cstheme="minorEastAsia"/>
                <w:color w:val="auto"/>
                <w:sz w:val="21"/>
                <w:szCs w:val="21"/>
                <w:lang w:val="en-US" w:eastAsia="zh-CN"/>
              </w:rPr>
              <w:t>查2021年5月25日对</w:t>
            </w:r>
            <w:r>
              <w:rPr>
                <w:rFonts w:hint="eastAsia"/>
                <w:lang w:val="en-US" w:eastAsia="zh-CN"/>
              </w:rPr>
              <w:t>杭州市上城区机关事务中心、</w:t>
            </w:r>
            <w:r>
              <w:rPr>
                <w:rFonts w:hint="eastAsia" w:eastAsia="宋体"/>
                <w:lang w:val="en-US" w:eastAsia="zh-CN"/>
              </w:rPr>
              <w:t>杭州市上城区农居多层公寓建设管理中心</w:t>
            </w:r>
            <w:r>
              <w:rPr>
                <w:rFonts w:hint="eastAsia"/>
                <w:lang w:val="en-US" w:eastAsia="zh-CN"/>
              </w:rPr>
              <w:t>、</w:t>
            </w:r>
            <w:r>
              <w:rPr>
                <w:rFonts w:hint="eastAsia" w:eastAsia="宋体"/>
                <w:lang w:val="en-US" w:eastAsia="zh-CN"/>
              </w:rPr>
              <w:t>杭州市上城区小营街道紫金社区</w:t>
            </w:r>
            <w:r>
              <w:rPr>
                <w:rFonts w:hint="eastAsia"/>
                <w:lang w:val="en-US" w:eastAsia="zh-CN"/>
              </w:rPr>
              <w:t>、杭州市上城区人民法院等甲方的顾客满意度调查表，调查维度：客服服务、秩序维护、工程维修、保洁服务等，汇总</w:t>
            </w:r>
            <w:r>
              <w:rPr>
                <w:rFonts w:hint="eastAsia" w:asciiTheme="minorEastAsia" w:hAnsiTheme="minorEastAsia" w:eastAsiaTheme="minorEastAsia" w:cstheme="minorEastAsia"/>
                <w:color w:val="auto"/>
                <w:sz w:val="21"/>
                <w:szCs w:val="21"/>
              </w:rPr>
              <w:t>最终顾客满意率</w:t>
            </w:r>
            <w:r>
              <w:rPr>
                <w:rFonts w:hint="eastAsia" w:asciiTheme="minorEastAsia" w:hAnsiTheme="minorEastAsia" w:eastAsiaTheme="minorEastAsia" w:cstheme="minorEastAsia"/>
                <w:color w:val="auto"/>
                <w:sz w:val="21"/>
                <w:szCs w:val="21"/>
                <w:lang w:val="en-US" w:eastAsia="zh-CN"/>
              </w:rPr>
              <w:t>96.67</w:t>
            </w:r>
            <w:r>
              <w:rPr>
                <w:rFonts w:hint="eastAsia" w:asciiTheme="minorEastAsia" w:hAnsiTheme="minorEastAsia" w:eastAsiaTheme="minorEastAsia" w:cstheme="minorEastAsia"/>
                <w:color w:val="auto"/>
                <w:sz w:val="21"/>
                <w:szCs w:val="21"/>
              </w:rPr>
              <w:t>%。该结果已提交管理评审。</w:t>
            </w:r>
          </w:p>
        </w:tc>
        <w:tc>
          <w:tcPr>
            <w:tcW w:w="732" w:type="dxa"/>
          </w:tcPr>
          <w:p>
            <w:pPr>
              <w:rPr>
                <w:rFonts w:hint="eastAsia" w:asciiTheme="minorEastAsia" w:hAnsiTheme="minorEastAsia" w:eastAsiaTheme="minorEastAsia" w:cstheme="minorEastAsia"/>
                <w:sz w:val="21"/>
                <w:szCs w:val="21"/>
              </w:rPr>
            </w:pPr>
          </w:p>
        </w:tc>
      </w:tr>
    </w:tbl>
    <w:p>
      <w:pPr>
        <w:pStyle w:val="11"/>
        <w:rPr>
          <w:rFonts w:hint="eastAsia"/>
        </w:rPr>
      </w:pPr>
    </w:p>
    <w:p>
      <w:pPr>
        <w:pStyle w:val="11"/>
        <w:rPr>
          <w:rFonts w:hint="eastAsia"/>
        </w:rPr>
      </w:pPr>
    </w:p>
    <w:p>
      <w:pPr>
        <w:pStyle w:val="11"/>
        <w:rPr>
          <w:rFonts w:hint="eastAsia"/>
        </w:rPr>
      </w:pPr>
    </w:p>
    <w:p>
      <w:pPr>
        <w:pStyle w:val="11"/>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12"/>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5"/>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7715C"/>
    <w:multiLevelType w:val="singleLevel"/>
    <w:tmpl w:val="F187715C"/>
    <w:lvl w:ilvl="0" w:tentative="0">
      <w:start w:val="1"/>
      <w:numFmt w:val="decimal"/>
      <w:suff w:val="nothing"/>
      <w:lvlText w:val="%1、"/>
      <w:lvlJc w:val="left"/>
    </w:lvl>
  </w:abstractNum>
  <w:abstractNum w:abstractNumId="1">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3"/>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88C98E1"/>
    <w:multiLevelType w:val="singleLevel"/>
    <w:tmpl w:val="388C98E1"/>
    <w:lvl w:ilvl="0" w:tentative="0">
      <w:start w:val="1"/>
      <w:numFmt w:val="decimal"/>
      <w:suff w:val="nothing"/>
      <w:lvlText w:val="%1）"/>
      <w:lvlJc w:val="left"/>
      <w:pPr>
        <w:ind w:left="19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3905"/>
    <w:rsid w:val="007B3DAF"/>
    <w:rsid w:val="00DB72B2"/>
    <w:rsid w:val="00ED266B"/>
    <w:rsid w:val="00F43426"/>
    <w:rsid w:val="00F72ABE"/>
    <w:rsid w:val="010F4C60"/>
    <w:rsid w:val="01E3771F"/>
    <w:rsid w:val="024F1167"/>
    <w:rsid w:val="027A5C11"/>
    <w:rsid w:val="02B74B3F"/>
    <w:rsid w:val="03314A7D"/>
    <w:rsid w:val="03971E0B"/>
    <w:rsid w:val="03BF4DF3"/>
    <w:rsid w:val="04476F14"/>
    <w:rsid w:val="0458744E"/>
    <w:rsid w:val="050D203E"/>
    <w:rsid w:val="050F7AD6"/>
    <w:rsid w:val="0515091E"/>
    <w:rsid w:val="056F513E"/>
    <w:rsid w:val="05F12FC1"/>
    <w:rsid w:val="06276BA1"/>
    <w:rsid w:val="071E0BD8"/>
    <w:rsid w:val="071E5396"/>
    <w:rsid w:val="07252F75"/>
    <w:rsid w:val="07511AB9"/>
    <w:rsid w:val="077168B6"/>
    <w:rsid w:val="07760118"/>
    <w:rsid w:val="07DD4098"/>
    <w:rsid w:val="08151499"/>
    <w:rsid w:val="08193D3A"/>
    <w:rsid w:val="085F30D4"/>
    <w:rsid w:val="0872572E"/>
    <w:rsid w:val="0875081F"/>
    <w:rsid w:val="08870786"/>
    <w:rsid w:val="08F215E2"/>
    <w:rsid w:val="09296E07"/>
    <w:rsid w:val="09B01C49"/>
    <w:rsid w:val="09E31136"/>
    <w:rsid w:val="09EB1CAA"/>
    <w:rsid w:val="0A165B13"/>
    <w:rsid w:val="0A7372D5"/>
    <w:rsid w:val="0AAD3E63"/>
    <w:rsid w:val="0ABE51AD"/>
    <w:rsid w:val="0B063520"/>
    <w:rsid w:val="0B59105B"/>
    <w:rsid w:val="0BED6A15"/>
    <w:rsid w:val="0C1A06B5"/>
    <w:rsid w:val="0C361B65"/>
    <w:rsid w:val="0C3B40FC"/>
    <w:rsid w:val="0CE5132C"/>
    <w:rsid w:val="0D0518EE"/>
    <w:rsid w:val="0D444194"/>
    <w:rsid w:val="0D4B347F"/>
    <w:rsid w:val="0D570C8A"/>
    <w:rsid w:val="0DDC4A26"/>
    <w:rsid w:val="0E04283D"/>
    <w:rsid w:val="0F033D06"/>
    <w:rsid w:val="0F9C26D4"/>
    <w:rsid w:val="10146BF1"/>
    <w:rsid w:val="104F6DAF"/>
    <w:rsid w:val="107D501B"/>
    <w:rsid w:val="10B27CAD"/>
    <w:rsid w:val="11273C0B"/>
    <w:rsid w:val="1174748E"/>
    <w:rsid w:val="11915D99"/>
    <w:rsid w:val="11EC7CB4"/>
    <w:rsid w:val="120C44D2"/>
    <w:rsid w:val="121C34B5"/>
    <w:rsid w:val="130F1D4C"/>
    <w:rsid w:val="134C3D0E"/>
    <w:rsid w:val="138C3317"/>
    <w:rsid w:val="13A84DED"/>
    <w:rsid w:val="13B66175"/>
    <w:rsid w:val="13ED22A6"/>
    <w:rsid w:val="13FB79B0"/>
    <w:rsid w:val="140B4438"/>
    <w:rsid w:val="14496629"/>
    <w:rsid w:val="1492636B"/>
    <w:rsid w:val="14A062F4"/>
    <w:rsid w:val="161A73B2"/>
    <w:rsid w:val="16D67ED2"/>
    <w:rsid w:val="16E26F0E"/>
    <w:rsid w:val="16F02E90"/>
    <w:rsid w:val="17062B69"/>
    <w:rsid w:val="171B0AC2"/>
    <w:rsid w:val="182164BB"/>
    <w:rsid w:val="188972CF"/>
    <w:rsid w:val="18B95C0D"/>
    <w:rsid w:val="18D068A4"/>
    <w:rsid w:val="19122210"/>
    <w:rsid w:val="194A1301"/>
    <w:rsid w:val="195576C8"/>
    <w:rsid w:val="19CA6AEA"/>
    <w:rsid w:val="1A4A1F1B"/>
    <w:rsid w:val="1AB22DB0"/>
    <w:rsid w:val="1B04548A"/>
    <w:rsid w:val="1B3A1DD3"/>
    <w:rsid w:val="1C4D73A6"/>
    <w:rsid w:val="1C984EA9"/>
    <w:rsid w:val="1CF54D0D"/>
    <w:rsid w:val="1D173593"/>
    <w:rsid w:val="1D5510E6"/>
    <w:rsid w:val="1D8927A9"/>
    <w:rsid w:val="1DAA697C"/>
    <w:rsid w:val="1DBC259A"/>
    <w:rsid w:val="1DFC4614"/>
    <w:rsid w:val="1E57661E"/>
    <w:rsid w:val="1E8D2F4B"/>
    <w:rsid w:val="1F5A25AA"/>
    <w:rsid w:val="1F87166B"/>
    <w:rsid w:val="20093412"/>
    <w:rsid w:val="20221AB6"/>
    <w:rsid w:val="20641CD2"/>
    <w:rsid w:val="206D5617"/>
    <w:rsid w:val="209C2F82"/>
    <w:rsid w:val="20D87DD3"/>
    <w:rsid w:val="21333CB9"/>
    <w:rsid w:val="2155510F"/>
    <w:rsid w:val="215B5EE3"/>
    <w:rsid w:val="2170552A"/>
    <w:rsid w:val="21725EAA"/>
    <w:rsid w:val="21BD1856"/>
    <w:rsid w:val="21EF1CCB"/>
    <w:rsid w:val="21F775B6"/>
    <w:rsid w:val="21FE778F"/>
    <w:rsid w:val="222511D3"/>
    <w:rsid w:val="222A7E1E"/>
    <w:rsid w:val="22A33E3D"/>
    <w:rsid w:val="23C53F61"/>
    <w:rsid w:val="24AF1061"/>
    <w:rsid w:val="2528193B"/>
    <w:rsid w:val="25444A65"/>
    <w:rsid w:val="264941D1"/>
    <w:rsid w:val="26703415"/>
    <w:rsid w:val="268F7A4C"/>
    <w:rsid w:val="26A21C12"/>
    <w:rsid w:val="26E32CAC"/>
    <w:rsid w:val="27416481"/>
    <w:rsid w:val="276F23A0"/>
    <w:rsid w:val="277F67AF"/>
    <w:rsid w:val="27C231BC"/>
    <w:rsid w:val="280C386E"/>
    <w:rsid w:val="28327299"/>
    <w:rsid w:val="283C5AAF"/>
    <w:rsid w:val="28AC6FA1"/>
    <w:rsid w:val="28AD7F2A"/>
    <w:rsid w:val="290772D8"/>
    <w:rsid w:val="29526A59"/>
    <w:rsid w:val="29991719"/>
    <w:rsid w:val="29DB75AB"/>
    <w:rsid w:val="2A0F693C"/>
    <w:rsid w:val="2A4B79CF"/>
    <w:rsid w:val="2A583BDC"/>
    <w:rsid w:val="2B846F6E"/>
    <w:rsid w:val="2BDE2DFD"/>
    <w:rsid w:val="2C1F26D0"/>
    <w:rsid w:val="2C3D292E"/>
    <w:rsid w:val="2C477944"/>
    <w:rsid w:val="2C681735"/>
    <w:rsid w:val="2CB46FDB"/>
    <w:rsid w:val="2D497B9E"/>
    <w:rsid w:val="2DFB27B7"/>
    <w:rsid w:val="2ED42FAB"/>
    <w:rsid w:val="2F366741"/>
    <w:rsid w:val="2FBB6AEF"/>
    <w:rsid w:val="325B5177"/>
    <w:rsid w:val="32625B19"/>
    <w:rsid w:val="32FA5B66"/>
    <w:rsid w:val="33077788"/>
    <w:rsid w:val="33803AE5"/>
    <w:rsid w:val="33DA419B"/>
    <w:rsid w:val="340D5819"/>
    <w:rsid w:val="34C2320E"/>
    <w:rsid w:val="34FD6C4E"/>
    <w:rsid w:val="357F7BE6"/>
    <w:rsid w:val="359E5DA6"/>
    <w:rsid w:val="36292E46"/>
    <w:rsid w:val="36C67F48"/>
    <w:rsid w:val="36FE6ED4"/>
    <w:rsid w:val="370C0EF6"/>
    <w:rsid w:val="37A03B9A"/>
    <w:rsid w:val="38871868"/>
    <w:rsid w:val="38C773A4"/>
    <w:rsid w:val="38D65753"/>
    <w:rsid w:val="39824704"/>
    <w:rsid w:val="39A15878"/>
    <w:rsid w:val="39AD5135"/>
    <w:rsid w:val="39F545FE"/>
    <w:rsid w:val="3A7733B5"/>
    <w:rsid w:val="3A8F42DA"/>
    <w:rsid w:val="3ACC739E"/>
    <w:rsid w:val="3AF251B7"/>
    <w:rsid w:val="3AFD3559"/>
    <w:rsid w:val="3B1825C5"/>
    <w:rsid w:val="3B320E51"/>
    <w:rsid w:val="3B8023A1"/>
    <w:rsid w:val="3B8519B2"/>
    <w:rsid w:val="3B874061"/>
    <w:rsid w:val="3C676135"/>
    <w:rsid w:val="3CB60938"/>
    <w:rsid w:val="3D0E3869"/>
    <w:rsid w:val="3D586B1B"/>
    <w:rsid w:val="3DCE36CE"/>
    <w:rsid w:val="3EB82705"/>
    <w:rsid w:val="3EC5675F"/>
    <w:rsid w:val="3F767015"/>
    <w:rsid w:val="40543EF5"/>
    <w:rsid w:val="405B1054"/>
    <w:rsid w:val="405F7DF3"/>
    <w:rsid w:val="408A5C74"/>
    <w:rsid w:val="40CC02CC"/>
    <w:rsid w:val="40D031F2"/>
    <w:rsid w:val="40D83E9F"/>
    <w:rsid w:val="40E4142D"/>
    <w:rsid w:val="41736CE5"/>
    <w:rsid w:val="41982DB7"/>
    <w:rsid w:val="419D4385"/>
    <w:rsid w:val="420F0402"/>
    <w:rsid w:val="43126C97"/>
    <w:rsid w:val="431E0008"/>
    <w:rsid w:val="434D13B2"/>
    <w:rsid w:val="437753D5"/>
    <w:rsid w:val="43B70C81"/>
    <w:rsid w:val="44292AD4"/>
    <w:rsid w:val="4469254F"/>
    <w:rsid w:val="44B27C2A"/>
    <w:rsid w:val="451A3510"/>
    <w:rsid w:val="46262088"/>
    <w:rsid w:val="46300AAA"/>
    <w:rsid w:val="469B1CAE"/>
    <w:rsid w:val="46AE5FF3"/>
    <w:rsid w:val="4732799B"/>
    <w:rsid w:val="474D75E2"/>
    <w:rsid w:val="48150E11"/>
    <w:rsid w:val="48212EC4"/>
    <w:rsid w:val="4862186A"/>
    <w:rsid w:val="48B614A6"/>
    <w:rsid w:val="48CB5056"/>
    <w:rsid w:val="49370AB5"/>
    <w:rsid w:val="4A0C4B1D"/>
    <w:rsid w:val="4B031B7A"/>
    <w:rsid w:val="4BA4167F"/>
    <w:rsid w:val="4BF806A6"/>
    <w:rsid w:val="4C540BEC"/>
    <w:rsid w:val="4C6427BD"/>
    <w:rsid w:val="4CE66527"/>
    <w:rsid w:val="4D221E11"/>
    <w:rsid w:val="4D271D07"/>
    <w:rsid w:val="4D4D6563"/>
    <w:rsid w:val="4E230FE8"/>
    <w:rsid w:val="4E3C6E2B"/>
    <w:rsid w:val="4E3E4E22"/>
    <w:rsid w:val="4E4832CD"/>
    <w:rsid w:val="4E835676"/>
    <w:rsid w:val="4F0F48AA"/>
    <w:rsid w:val="4FB9214A"/>
    <w:rsid w:val="4FC5339D"/>
    <w:rsid w:val="4FC66683"/>
    <w:rsid w:val="4FD23DCD"/>
    <w:rsid w:val="4FE20E43"/>
    <w:rsid w:val="50243E54"/>
    <w:rsid w:val="503526D9"/>
    <w:rsid w:val="50425DAA"/>
    <w:rsid w:val="50A713CB"/>
    <w:rsid w:val="513405CC"/>
    <w:rsid w:val="513813F3"/>
    <w:rsid w:val="515A41FC"/>
    <w:rsid w:val="519B1D3C"/>
    <w:rsid w:val="524D2A61"/>
    <w:rsid w:val="527E73EA"/>
    <w:rsid w:val="52802927"/>
    <w:rsid w:val="53604C26"/>
    <w:rsid w:val="54431A0E"/>
    <w:rsid w:val="54552B6D"/>
    <w:rsid w:val="54D44AC7"/>
    <w:rsid w:val="552F169E"/>
    <w:rsid w:val="553F67DC"/>
    <w:rsid w:val="55CE15C1"/>
    <w:rsid w:val="56112655"/>
    <w:rsid w:val="56A42262"/>
    <w:rsid w:val="5711455E"/>
    <w:rsid w:val="57802FAE"/>
    <w:rsid w:val="57B9702B"/>
    <w:rsid w:val="57D07126"/>
    <w:rsid w:val="58260B9B"/>
    <w:rsid w:val="58500DD6"/>
    <w:rsid w:val="5855243C"/>
    <w:rsid w:val="585D3DF0"/>
    <w:rsid w:val="58746F33"/>
    <w:rsid w:val="58CF6491"/>
    <w:rsid w:val="58D25A73"/>
    <w:rsid w:val="58D54B9A"/>
    <w:rsid w:val="59BE02C8"/>
    <w:rsid w:val="59D624CA"/>
    <w:rsid w:val="5A4A3433"/>
    <w:rsid w:val="5AA804F6"/>
    <w:rsid w:val="5B0B47FB"/>
    <w:rsid w:val="5B4B0AC3"/>
    <w:rsid w:val="5B4F64F7"/>
    <w:rsid w:val="5BD3337D"/>
    <w:rsid w:val="5CA0213D"/>
    <w:rsid w:val="5CD64FD9"/>
    <w:rsid w:val="5D156FA2"/>
    <w:rsid w:val="5D551BFA"/>
    <w:rsid w:val="5D6E0C63"/>
    <w:rsid w:val="5DE977F8"/>
    <w:rsid w:val="5F0F1DD3"/>
    <w:rsid w:val="5F207068"/>
    <w:rsid w:val="5F760B65"/>
    <w:rsid w:val="5FA27792"/>
    <w:rsid w:val="5FF35C58"/>
    <w:rsid w:val="60364859"/>
    <w:rsid w:val="603C0D48"/>
    <w:rsid w:val="605F13F0"/>
    <w:rsid w:val="608A1A55"/>
    <w:rsid w:val="60A1719B"/>
    <w:rsid w:val="60E35500"/>
    <w:rsid w:val="6121278F"/>
    <w:rsid w:val="612625AA"/>
    <w:rsid w:val="6148542E"/>
    <w:rsid w:val="61817E3C"/>
    <w:rsid w:val="620F6776"/>
    <w:rsid w:val="62367E65"/>
    <w:rsid w:val="624038C5"/>
    <w:rsid w:val="6265623A"/>
    <w:rsid w:val="628F111D"/>
    <w:rsid w:val="629E1DFA"/>
    <w:rsid w:val="62A86D2A"/>
    <w:rsid w:val="62B23D75"/>
    <w:rsid w:val="62E0271D"/>
    <w:rsid w:val="62EB5301"/>
    <w:rsid w:val="632C14AF"/>
    <w:rsid w:val="6376327D"/>
    <w:rsid w:val="63E65CAD"/>
    <w:rsid w:val="644205E4"/>
    <w:rsid w:val="644D1DFE"/>
    <w:rsid w:val="65364107"/>
    <w:rsid w:val="65DC4836"/>
    <w:rsid w:val="65DF3879"/>
    <w:rsid w:val="661357A0"/>
    <w:rsid w:val="66297A28"/>
    <w:rsid w:val="663D1963"/>
    <w:rsid w:val="667A086C"/>
    <w:rsid w:val="66F23DA0"/>
    <w:rsid w:val="67591F27"/>
    <w:rsid w:val="67BF5964"/>
    <w:rsid w:val="67ED0162"/>
    <w:rsid w:val="680C1D11"/>
    <w:rsid w:val="68675294"/>
    <w:rsid w:val="688A2780"/>
    <w:rsid w:val="689E3E83"/>
    <w:rsid w:val="68ED24C0"/>
    <w:rsid w:val="691F79AD"/>
    <w:rsid w:val="698334C9"/>
    <w:rsid w:val="6A996089"/>
    <w:rsid w:val="6AEB0406"/>
    <w:rsid w:val="6B1662A0"/>
    <w:rsid w:val="6B324C90"/>
    <w:rsid w:val="6C075B40"/>
    <w:rsid w:val="6C9A762A"/>
    <w:rsid w:val="6CC64A9C"/>
    <w:rsid w:val="6CDF240E"/>
    <w:rsid w:val="6D3D73A6"/>
    <w:rsid w:val="6DB55520"/>
    <w:rsid w:val="6E32632A"/>
    <w:rsid w:val="6E83674B"/>
    <w:rsid w:val="6F81410E"/>
    <w:rsid w:val="6F9243F5"/>
    <w:rsid w:val="6FCA1424"/>
    <w:rsid w:val="70222ADB"/>
    <w:rsid w:val="70323211"/>
    <w:rsid w:val="706863B3"/>
    <w:rsid w:val="71277622"/>
    <w:rsid w:val="71674FE1"/>
    <w:rsid w:val="716B506C"/>
    <w:rsid w:val="71805FEF"/>
    <w:rsid w:val="71C8773D"/>
    <w:rsid w:val="71E940A1"/>
    <w:rsid w:val="72F8265E"/>
    <w:rsid w:val="73235F29"/>
    <w:rsid w:val="73A823EF"/>
    <w:rsid w:val="74775FC0"/>
    <w:rsid w:val="749414A1"/>
    <w:rsid w:val="76084588"/>
    <w:rsid w:val="76B83908"/>
    <w:rsid w:val="76EA4765"/>
    <w:rsid w:val="77197ED0"/>
    <w:rsid w:val="77392219"/>
    <w:rsid w:val="77AB14FD"/>
    <w:rsid w:val="78624DA5"/>
    <w:rsid w:val="78773C75"/>
    <w:rsid w:val="78AB0C68"/>
    <w:rsid w:val="78E328E5"/>
    <w:rsid w:val="79046A88"/>
    <w:rsid w:val="79130FEA"/>
    <w:rsid w:val="79662E86"/>
    <w:rsid w:val="79EA0D2A"/>
    <w:rsid w:val="7A2141E3"/>
    <w:rsid w:val="7A33156C"/>
    <w:rsid w:val="7AC27882"/>
    <w:rsid w:val="7AF83AAC"/>
    <w:rsid w:val="7B011597"/>
    <w:rsid w:val="7B0924ED"/>
    <w:rsid w:val="7B2075DD"/>
    <w:rsid w:val="7B2A00C7"/>
    <w:rsid w:val="7B5D5082"/>
    <w:rsid w:val="7BD16A01"/>
    <w:rsid w:val="7C3F1BA4"/>
    <w:rsid w:val="7CD32026"/>
    <w:rsid w:val="7CEB71BA"/>
    <w:rsid w:val="7D9C7A9A"/>
    <w:rsid w:val="7DD06F88"/>
    <w:rsid w:val="7DE85FE7"/>
    <w:rsid w:val="7ED21CB4"/>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3">
    <w:name w:val="heading 3"/>
    <w:basedOn w:val="4"/>
    <w:next w:val="4"/>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lock Text"/>
    <w:basedOn w:val="1"/>
    <w:unhideWhenUsed/>
    <w:qFormat/>
    <w:uiPriority w:val="99"/>
    <w:pPr>
      <w:spacing w:after="120" w:afterLines="0" w:afterAutospacing="0"/>
      <w:ind w:left="1440" w:leftChars="700" w:rightChars="700"/>
    </w:pPr>
  </w:style>
  <w:style w:type="paragraph" w:styleId="5">
    <w:name w:val="Body Text"/>
    <w:basedOn w:val="1"/>
    <w:next w:val="6"/>
    <w:qFormat/>
    <w:uiPriority w:val="1"/>
    <w:rPr>
      <w:rFonts w:ascii="宋体" w:hAnsi="宋体" w:eastAsia="宋体" w:cs="宋体"/>
      <w:sz w:val="24"/>
      <w:szCs w:val="24"/>
    </w:rPr>
  </w:style>
  <w:style w:type="paragraph" w:customStyle="1" w:styleId="6">
    <w:name w:val="一级条标题"/>
    <w:basedOn w:val="7"/>
    <w:next w:val="1"/>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Plain Text"/>
    <w:basedOn w:val="1"/>
    <w:qFormat/>
    <w:uiPriority w:val="0"/>
    <w:rPr>
      <w:rFonts w:ascii="宋体" w:hAnsi="Courier New" w:eastAsiaTheme="minorEastAsia" w:cstheme="minorBidi"/>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asciiTheme="minorHAnsi" w:hAnsiTheme="minorHAnsi" w:eastAsiaTheme="minorEastAsia" w:cstheme="minorBidi"/>
    </w:rPr>
  </w:style>
  <w:style w:type="paragraph" w:styleId="14">
    <w:name w:val="Body Text First Indent"/>
    <w:basedOn w:val="5"/>
    <w:unhideWhenUsed/>
    <w:qFormat/>
    <w:uiPriority w:val="99"/>
    <w:pPr>
      <w:spacing w:before="100" w:beforeAutospacing="1"/>
      <w:ind w:firstLine="420" w:firstLineChars="100"/>
    </w:pPr>
  </w:style>
  <w:style w:type="paragraph" w:styleId="15">
    <w:name w:val="Body Text First Indent 2"/>
    <w:basedOn w:val="8"/>
    <w:unhideWhenUsed/>
    <w:qFormat/>
    <w:uiPriority w:val="99"/>
    <w:pPr>
      <w:ind w:firstLine="420" w:firstLineChars="200"/>
    </w:pPr>
    <w:rPr>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20">
    <w:name w:val="表格文字"/>
    <w:basedOn w:val="1"/>
    <w:qFormat/>
    <w:uiPriority w:val="99"/>
    <w:pPr>
      <w:spacing w:before="25" w:after="25"/>
    </w:pPr>
    <w:rPr>
      <w:bCs/>
      <w:spacing w:val="10"/>
    </w:rPr>
  </w:style>
  <w:style w:type="paragraph" w:customStyle="1" w:styleId="2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2">
    <w:name w:val="页眉 Char"/>
    <w:basedOn w:val="18"/>
    <w:link w:val="12"/>
    <w:qFormat/>
    <w:uiPriority w:val="99"/>
    <w:rPr>
      <w:rFonts w:ascii="Times New Roman" w:hAnsi="Times New Roman" w:eastAsia="宋体" w:cs="Times New Roman"/>
      <w:sz w:val="18"/>
      <w:szCs w:val="18"/>
    </w:rPr>
  </w:style>
  <w:style w:type="character" w:customStyle="1" w:styleId="23">
    <w:name w:val="页脚 Char"/>
    <w:basedOn w:val="18"/>
    <w:link w:val="11"/>
    <w:qFormat/>
    <w:uiPriority w:val="99"/>
    <w:rPr>
      <w:rFonts w:ascii="Times New Roman" w:hAnsi="Times New Roman" w:eastAsia="宋体" w:cs="Times New Roman"/>
      <w:sz w:val="18"/>
      <w:szCs w:val="18"/>
    </w:rPr>
  </w:style>
  <w:style w:type="character" w:customStyle="1" w:styleId="24">
    <w:name w:val="批注框文本 Char"/>
    <w:basedOn w:val="18"/>
    <w:link w:val="10"/>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NormalCharacter"/>
    <w:semiHidden/>
    <w:qFormat/>
    <w:uiPriority w:val="0"/>
  </w:style>
  <w:style w:type="paragraph" w:customStyle="1" w:styleId="29">
    <w:name w:val="_Style 2"/>
    <w:basedOn w:val="1"/>
    <w:qFormat/>
    <w:uiPriority w:val="34"/>
    <w:pPr>
      <w:ind w:firstLine="420" w:firstLineChars="200"/>
    </w:pPr>
    <w:rPr>
      <w:rFonts w:ascii="Calibri" w:hAnsi="Calibri"/>
      <w:sz w:val="24"/>
      <w:szCs w:val="22"/>
    </w:rPr>
  </w:style>
  <w:style w:type="paragraph" w:customStyle="1" w:styleId="30">
    <w:name w:val="二级条标题"/>
    <w:basedOn w:val="6"/>
    <w:next w:val="1"/>
    <w:qFormat/>
    <w:uiPriority w:val="0"/>
    <w:pPr>
      <w:tabs>
        <w:tab w:val="left" w:pos="720"/>
      </w:tabs>
      <w:ind w:left="0" w:firstLine="0"/>
      <w:outlineLvl w:val="3"/>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Mr.Wrong</cp:lastModifiedBy>
  <dcterms:modified xsi:type="dcterms:W3CDTF">2021-07-05T06:41:22Z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5F28540EB2954688A8C5DCEFBF5AD117</vt:lpwstr>
  </property>
</Properties>
</file>