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4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ascii="宋体" w:hAnsi="宋体"/>
                <w:sz w:val="24"/>
                <w:lang w:eastAsia="zh-CN"/>
              </w:rPr>
              <w:t>魏东</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陈松林</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褚敏杰             </w:t>
            </w:r>
            <w:r>
              <w:rPr>
                <w:rFonts w:hint="eastAsia"/>
                <w:sz w:val="24"/>
                <w:szCs w:val="24"/>
              </w:rPr>
              <w:t>审核时间：</w:t>
            </w:r>
            <w:r>
              <w:rPr>
                <w:rFonts w:hint="eastAsia"/>
                <w:sz w:val="24"/>
                <w:szCs w:val="24"/>
                <w:lang w:val="en-US" w:eastAsia="zh-CN"/>
              </w:rPr>
              <w:t>2021.6.18</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line="360" w:lineRule="auto"/>
              <w:rPr>
                <w:rFonts w:hint="eastAsia"/>
                <w:sz w:val="24"/>
                <w:szCs w:val="24"/>
              </w:rPr>
            </w:pPr>
            <w:r>
              <w:rPr>
                <w:rFonts w:hint="eastAsia"/>
                <w:sz w:val="24"/>
                <w:szCs w:val="24"/>
              </w:rPr>
              <w:t>审核条款：</w:t>
            </w:r>
          </w:p>
          <w:p>
            <w:pPr>
              <w:spacing w:line="240" w:lineRule="auto"/>
              <w:rPr>
                <w:rFonts w:hint="eastAsia" w:ascii="宋体" w:hAnsi="宋体" w:cs="Arial"/>
                <w:spacing w:val="-6"/>
                <w:sz w:val="21"/>
                <w:szCs w:val="21"/>
                <w:u w:val="none"/>
              </w:rPr>
            </w:pPr>
            <w:r>
              <w:rPr>
                <w:rFonts w:hint="eastAsia" w:ascii="宋体" w:hAnsi="宋体" w:cs="Arial"/>
                <w:spacing w:val="-6"/>
                <w:sz w:val="21"/>
                <w:szCs w:val="21"/>
                <w:u w:val="none"/>
              </w:rPr>
              <w:t>Q:5.3组织的岗位、职责和权限、6.2质量目标、7.1.2人员、7.2能力、7.3意识、7.5成文信息、7.1.6组织知识、9.1.1监视、测量、分析和评价总则、9.1.3分析与评价、9.2内部审核、10.2不符合/事件和纠正措施</w:t>
            </w:r>
          </w:p>
          <w:p>
            <w:pPr>
              <w:spacing w:line="240" w:lineRule="auto"/>
              <w:rPr>
                <w:rFonts w:hint="eastAsia"/>
                <w:sz w:val="24"/>
                <w:szCs w:val="24"/>
              </w:rPr>
            </w:pPr>
            <w:r>
              <w:rPr>
                <w:rFonts w:hint="eastAsia" w:ascii="宋体" w:hAnsi="宋体" w:cs="Arial"/>
                <w:spacing w:val="-6"/>
                <w:sz w:val="21"/>
                <w:szCs w:val="21"/>
                <w:u w:val="none"/>
              </w:rPr>
              <w:t>E/O:5.3组织的岗位、职责和权限、6.1.2环境因素/危险源的识别与评价、6.1.4措施的策划、6.1.3合规义务、9.1.2合规性评价、6.2环境/职业健康安全目标及控制的策划、7.2能力、7.3意识、7.5成文信息、8.1运行策划和控制、8.2应急准备和响应、9.1.1监视、测量、分析和评价、9.2内部审核、10.2不符合、事件和纠正措施</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highlight w:val="none"/>
                <w:lang w:val="en-US" w:eastAsia="zh-CN"/>
              </w:rPr>
            </w:pPr>
            <w:r>
              <w:rPr>
                <w:rFonts w:hint="eastAsia"/>
                <w:i w:val="0"/>
                <w:iCs w:val="0"/>
                <w:color w:val="auto"/>
                <w:highlight w:val="none"/>
                <w:lang w:val="en-US" w:eastAsia="zh-CN"/>
              </w:rPr>
              <w:t>行政部现有1人；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主要负责行政管理和人力资源管理；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部门环境因素、危险源的识别、评价及控制；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FF0000"/>
                <w:kern w:val="2"/>
                <w:sz w:val="21"/>
                <w:lang w:val="en-US" w:eastAsia="zh-CN" w:bidi="ar-SA"/>
              </w:rPr>
            </w:pPr>
            <w:r>
              <w:rPr>
                <w:rFonts w:hint="eastAsia"/>
                <w:color w:val="auto"/>
                <w:lang w:val="en-US" w:eastAsia="zh-CN"/>
              </w:rPr>
              <w:t>协助做好管理评审工作、组织开展内部审核。</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查见“目标分解考核表”，见行政部的目标：</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default"/>
                <w:color w:val="auto"/>
                <w:highlight w:val="none"/>
                <w:lang w:val="en-US" w:eastAsia="zh-CN"/>
              </w:rPr>
              <w:t>文件受控率100%</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default"/>
                <w:color w:val="auto"/>
                <w:highlight w:val="none"/>
                <w:lang w:val="en-US" w:eastAsia="zh-CN"/>
              </w:rPr>
              <w:t>培训合格率100%</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default"/>
                <w:color w:val="auto"/>
                <w:highlight w:val="none"/>
                <w:lang w:val="en-US" w:eastAsia="zh-CN"/>
              </w:rPr>
              <w:t>固废分类处置率100%</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default"/>
                <w:color w:val="auto"/>
                <w:highlight w:val="none"/>
                <w:lang w:val="en-US" w:eastAsia="zh-CN"/>
              </w:rPr>
              <w:t>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查见“目标与管理方案及实施情况一览表”，对指标、措施、时间要求、责任部门、责任人进行了明确；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2021年1季度考核目标均已全部完成；</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lang w:val="en-US" w:eastAsia="zh-CN"/>
              </w:rPr>
            </w:pPr>
            <w:r>
              <w:rPr>
                <w:rFonts w:hint="eastAsia"/>
                <w:color w:val="auto"/>
                <w:highlight w:val="none"/>
                <w:lang w:val="en-US" w:eastAsia="zh-CN"/>
              </w:rPr>
              <w:t>基本符合。</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spacing w:line="360" w:lineRule="auto"/>
              <w:rPr>
                <w:rFonts w:hint="eastAsia"/>
                <w:color w:val="auto"/>
                <w:lang w:val="en-US" w:eastAsia="zh-CN"/>
              </w:rPr>
            </w:pPr>
            <w:r>
              <w:rPr>
                <w:rFonts w:hint="eastAsia"/>
                <w:color w:val="auto"/>
                <w:lang w:val="en-US" w:eastAsia="zh-CN"/>
              </w:rPr>
              <w:t>环境因素/危险源的识别与评价</w:t>
            </w:r>
          </w:p>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措施的策划</w:t>
            </w:r>
          </w:p>
        </w:tc>
        <w:tc>
          <w:tcPr>
            <w:tcW w:w="1140" w:type="dxa"/>
            <w:vAlign w:val="top"/>
          </w:tcPr>
          <w:p>
            <w:pPr>
              <w:spacing w:line="360" w:lineRule="auto"/>
              <w:jc w:val="center"/>
              <w:rPr>
                <w:rFonts w:hint="eastAsia"/>
                <w:color w:val="auto"/>
                <w:lang w:val="en-US" w:eastAsia="zh-CN"/>
              </w:rPr>
            </w:pPr>
            <w:r>
              <w:rPr>
                <w:rFonts w:hint="eastAsia"/>
                <w:color w:val="auto"/>
                <w:lang w:val="en-US" w:eastAsia="zh-CN"/>
              </w:rPr>
              <w:t>EO:6.1.2</w:t>
            </w:r>
          </w:p>
          <w:p>
            <w:pPr>
              <w:spacing w:line="360" w:lineRule="auto"/>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查“环境因素辨识和评价表”，对办公活动的生活垃圾的处置不当污染环境、办公场所吸烟污染环境、复印机打印机废墨盒处置污染环境、火灾发生后废弃物污染大气、水土等，以及激光切割、折弯工序、焊接工序、组装工序、总检、能源消耗、用电不当、生产垃圾等过程中粉尘的排放，噪声的排放，能源的消耗，废渣的排放、固废的废弃等进行了辨识和评价；在环境评价过程中考虑到环境影响、三种时态和三种状态，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采取打分法评价；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查到“重要环境因素清单”，评价出</w:t>
            </w:r>
            <w:r>
              <w:rPr>
                <w:rFonts w:hint="default" w:ascii="宋体" w:hAnsi="宋体" w:cs="Arial"/>
                <w:color w:val="auto"/>
                <w:spacing w:val="-6"/>
                <w:sz w:val="21"/>
                <w:szCs w:val="21"/>
                <w:lang w:val="en-US" w:eastAsia="zh-CN"/>
              </w:rPr>
              <w:t>重大环境因素：固体废物排放</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潜在火灾</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噪声排放</w:t>
            </w:r>
            <w:r>
              <w:rPr>
                <w:rFonts w:hint="eastAsia" w:ascii="宋体" w:hAnsi="宋体" w:cs="Arial"/>
                <w:color w:val="auto"/>
                <w:spacing w:val="-6"/>
                <w:sz w:val="21"/>
                <w:szCs w:val="21"/>
                <w:lang w:val="en-US" w:eastAsia="zh-CN"/>
              </w:rPr>
              <w:t>、焊接烟尘</w:t>
            </w:r>
            <w:r>
              <w:rPr>
                <w:rFonts w:hint="default" w:ascii="宋体" w:hAnsi="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查“危害辨识、风险评价、风险控制工作表”，识别了办公、生产、采购、销售、研发等过程中的危险源触电、火灾、机械伤害、听力损害、爆炸、高空坠落、中毒、职业病、人身伤害等；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对识别出的危险源采取D=LEC进行评价；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highlight w:val="none"/>
                <w:lang w:val="en-US" w:eastAsia="zh-CN"/>
              </w:rPr>
              <w:t>查到“不可接受风险清单”，</w:t>
            </w:r>
            <w:r>
              <w:rPr>
                <w:rFonts w:hint="eastAsia"/>
                <w:color w:val="auto"/>
                <w:lang w:val="en-US" w:eastAsia="zh-CN"/>
              </w:rPr>
              <w:t>经评价</w:t>
            </w:r>
            <w:r>
              <w:rPr>
                <w:rFonts w:hint="default" w:ascii="宋体" w:hAnsi="宋体" w:cs="Arial"/>
                <w:color w:val="auto"/>
                <w:spacing w:val="-6"/>
                <w:sz w:val="21"/>
                <w:szCs w:val="21"/>
                <w:lang w:val="en-US" w:eastAsia="zh-CN"/>
              </w:rPr>
              <w:t>不可接受风险：机械伤害</w:t>
            </w:r>
            <w:r>
              <w:rPr>
                <w:rFonts w:hint="eastAsia" w:ascii="宋体" w:hAnsi="宋体" w:cs="Arial"/>
                <w:color w:val="auto"/>
                <w:spacing w:val="-6"/>
                <w:sz w:val="21"/>
                <w:szCs w:val="21"/>
                <w:lang w:val="en-US" w:eastAsia="zh-CN"/>
              </w:rPr>
              <w:t>、噪声排放、</w:t>
            </w:r>
            <w:r>
              <w:rPr>
                <w:rFonts w:hint="default" w:ascii="宋体" w:hAnsi="宋体" w:cs="Arial"/>
                <w:color w:val="auto"/>
                <w:spacing w:val="-6"/>
                <w:sz w:val="21"/>
                <w:szCs w:val="21"/>
                <w:lang w:val="en-US" w:eastAsia="zh-CN"/>
              </w:rPr>
              <w:t>潜在火灾</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触电伤害</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制订了“目标与管理方案及实施情况一览表”，明确了控制措施、时间要求、责任部门、责任人等。</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eastAsia"/>
                <w:color w:val="auto"/>
                <w:lang w:val="en-US" w:eastAsia="zh-CN"/>
              </w:rPr>
            </w:pPr>
            <w:r>
              <w:rPr>
                <w:rFonts w:hint="eastAsia"/>
                <w:color w:val="auto"/>
                <w:lang w:val="en-US" w:eastAsia="zh-CN"/>
              </w:rPr>
              <w:t>人员</w:t>
            </w:r>
          </w:p>
          <w:p>
            <w:pPr>
              <w:spacing w:line="360" w:lineRule="auto"/>
              <w:rPr>
                <w:rFonts w:hint="eastAsia"/>
                <w:color w:val="auto"/>
                <w:lang w:val="en-US" w:eastAsia="zh-CN"/>
              </w:rPr>
            </w:pPr>
            <w:r>
              <w:rPr>
                <w:rFonts w:hint="eastAsia"/>
                <w:color w:val="auto"/>
                <w:lang w:val="en-US" w:eastAsia="zh-CN"/>
              </w:rPr>
              <w:t>能力</w:t>
            </w:r>
          </w:p>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意识</w:t>
            </w:r>
          </w:p>
        </w:tc>
        <w:tc>
          <w:tcPr>
            <w:tcW w:w="1140" w:type="dxa"/>
            <w:vAlign w:val="top"/>
          </w:tcPr>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QEO:7.2</w:t>
            </w:r>
          </w:p>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7.3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公司现有人员</w:t>
            </w:r>
            <w:r>
              <w:rPr>
                <w:rFonts w:hint="eastAsia" w:ascii="宋体"/>
                <w:b/>
                <w:highlight w:val="none"/>
                <w:lang w:val="en-US" w:eastAsia="zh-CN"/>
              </w:rPr>
              <w:t>22</w:t>
            </w:r>
            <w:r>
              <w:rPr>
                <w:rFonts w:hint="eastAsia"/>
                <w:color w:val="auto"/>
                <w:highlight w:val="none"/>
                <w:lang w:val="en-US" w:eastAsia="zh-CN"/>
              </w:rPr>
              <w:t>人，</w:t>
            </w:r>
            <w:r>
              <w:rPr>
                <w:rFonts w:hint="eastAsia" w:ascii="宋体" w:hAnsi="宋体" w:cs="Arial"/>
                <w:color w:val="auto"/>
                <w:spacing w:val="-6"/>
                <w:sz w:val="21"/>
                <w:szCs w:val="21"/>
                <w:highlight w:val="none"/>
                <w:lang w:val="en-US" w:eastAsia="zh-CN"/>
              </w:rPr>
              <w:t>作业人员持证上岗；管理人员、技术人员能</w:t>
            </w:r>
            <w:r>
              <w:rPr>
                <w:rFonts w:hint="eastAsia"/>
                <w:color w:val="auto"/>
                <w:highlight w:val="none"/>
                <w:lang w:val="en-US" w:eastAsia="zh-CN"/>
              </w:rPr>
              <w:t>够有效实施管理体系，并运行和控制其过程。</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color w:val="auto"/>
                <w:highlight w:val="none"/>
                <w:lang w:val="en-US" w:eastAsia="zh-CN"/>
              </w:rPr>
              <w:t>保持“岗位说明书”，对各岗位的任职要求和能力要求进行了规定；职责中都包含了安全管理的要求；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见“培训计划”，计划2021年开展体系文件（制度汇编、作业指导书等）、管理体系内审员培训、环境、安全法律法规的培训、岗位技能培训、生产操作规程，作业指导书、检验规程、产品知识培训、安全生产等8项次；</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查“培训记录及培训效果评价表”，抽见：</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基础知识、体系标准，应知内容等——2021.1.12</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环境、安全法律法规的培训——2021.4.21</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yellow"/>
                <w:lang w:val="en-US" w:eastAsia="zh-CN"/>
              </w:rPr>
            </w:pPr>
            <w:r>
              <w:rPr>
                <w:rFonts w:hint="eastAsia"/>
                <w:color w:val="auto"/>
                <w:szCs w:val="22"/>
                <w:highlight w:val="none"/>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Cs w:val="21"/>
                <w:highlight w:val="none"/>
                <w:lang w:val="en-US" w:eastAsia="zh-CN"/>
              </w:rPr>
            </w:pPr>
            <w:r>
              <w:rPr>
                <w:rFonts w:hint="eastAsia" w:ascii="宋体" w:hAnsi="宋体" w:cs="Times New Roman"/>
                <w:szCs w:val="21"/>
                <w:highlight w:val="none"/>
                <w:lang w:val="en-US" w:eastAsia="zh-CN"/>
              </w:rPr>
              <w:t>彭苏敏</w:t>
            </w:r>
            <w:r>
              <w:rPr>
                <w:rFonts w:hint="eastAsia" w:ascii="宋体" w:hAnsi="宋体" w:eastAsia="宋体" w:cs="Times New Roman"/>
                <w:szCs w:val="21"/>
                <w:highlight w:val="none"/>
                <w:lang w:val="en-US" w:eastAsia="zh-CN"/>
              </w:rPr>
              <w:t>——主要负责人，安全培训证书；2023.9.10有效；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邹福平</w:t>
            </w:r>
            <w:r>
              <w:rPr>
                <w:rFonts w:hint="eastAsia" w:ascii="宋体" w:hAnsi="宋体" w:eastAsia="宋体" w:cs="Times New Roman"/>
                <w:szCs w:val="21"/>
                <w:highlight w:val="none"/>
                <w:lang w:val="en-US" w:eastAsia="zh-CN"/>
              </w:rPr>
              <w:t>——安全管理员，安全培训证书；2023.9.10有效；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Cs w:val="21"/>
                <w:highlight w:val="none"/>
                <w:lang w:val="en-US" w:eastAsia="zh-CN"/>
              </w:rPr>
            </w:pPr>
            <w:r>
              <w:rPr>
                <w:rFonts w:hint="eastAsia" w:ascii="宋体" w:hAnsi="宋体" w:cs="Times New Roman"/>
                <w:szCs w:val="21"/>
                <w:highlight w:val="none"/>
                <w:lang w:val="en-US" w:eastAsia="zh-CN"/>
              </w:rPr>
              <w:t>甘伟帅</w:t>
            </w:r>
            <w:r>
              <w:rPr>
                <w:rFonts w:hint="eastAsia" w:ascii="宋体" w:hAnsi="宋体" w:eastAsia="宋体" w:cs="Times New Roman"/>
                <w:szCs w:val="21"/>
                <w:highlight w:val="none"/>
                <w:lang w:val="en-US" w:eastAsia="zh-CN"/>
              </w:rPr>
              <w:t>——安全管理员，安全培训证书；2023.9.10有效；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张  </w:t>
            </w:r>
            <w:r>
              <w:rPr>
                <w:rFonts w:hint="eastAsia" w:ascii="宋体" w:hAnsi="宋体" w:eastAsia="宋体" w:cs="Times New Roman"/>
                <w:color w:val="auto"/>
                <w:szCs w:val="21"/>
                <w:highlight w:val="none"/>
                <w:lang w:val="en-US" w:eastAsia="zh-CN"/>
              </w:rPr>
              <w:t>X——低压电工作业，202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.12.</w:t>
            </w:r>
            <w:r>
              <w:rPr>
                <w:rFonts w:hint="eastAsia" w:ascii="宋体" w:hAnsi="宋体" w:cs="Times New Roman"/>
                <w:color w:val="auto"/>
                <w:szCs w:val="21"/>
                <w:highlight w:val="none"/>
                <w:lang w:val="en-US" w:eastAsia="zh-CN"/>
              </w:rPr>
              <w:t>28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江西省安全监督管理局</w:t>
            </w:r>
            <w:r>
              <w:rPr>
                <w:rFonts w:hint="eastAsia" w:ascii="宋体" w:hAnsi="宋体" w:eastAsia="宋体" w:cs="Times New Roman"/>
                <w:color w:val="auto"/>
                <w:szCs w:val="21"/>
                <w:highlight w:val="none"/>
                <w:lang w:val="en-US" w:eastAsia="zh-CN"/>
              </w:rPr>
              <w:t>发，有效；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许  </w:t>
            </w:r>
            <w:r>
              <w:rPr>
                <w:rFonts w:hint="eastAsia" w:ascii="宋体" w:hAnsi="宋体" w:eastAsia="宋体" w:cs="Times New Roman"/>
                <w:color w:val="auto"/>
                <w:szCs w:val="21"/>
                <w:highlight w:val="none"/>
                <w:lang w:val="en-US" w:eastAsia="zh-CN"/>
              </w:rPr>
              <w:t>X——</w:t>
            </w:r>
            <w:r>
              <w:rPr>
                <w:rFonts w:hint="eastAsia" w:ascii="宋体" w:hAnsi="宋体" w:cs="Times New Roman"/>
                <w:color w:val="auto"/>
                <w:szCs w:val="21"/>
                <w:highlight w:val="none"/>
                <w:lang w:val="en-US" w:eastAsia="zh-CN"/>
              </w:rPr>
              <w:t>焊接与热切割</w:t>
            </w:r>
            <w:r>
              <w:rPr>
                <w:rFonts w:hint="eastAsia" w:ascii="宋体" w:hAnsi="宋体" w:eastAsia="宋体" w:cs="Times New Roman"/>
                <w:color w:val="auto"/>
                <w:szCs w:val="21"/>
                <w:highlight w:val="none"/>
                <w:lang w:val="en-US" w:eastAsia="zh-CN"/>
              </w:rPr>
              <w:t>，202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.12.</w:t>
            </w:r>
            <w:r>
              <w:rPr>
                <w:rFonts w:hint="eastAsia" w:ascii="宋体" w:hAnsi="宋体" w:cs="Times New Roman"/>
                <w:color w:val="auto"/>
                <w:szCs w:val="21"/>
                <w:highlight w:val="none"/>
                <w:lang w:val="en-US" w:eastAsia="zh-CN"/>
              </w:rPr>
              <w:t>28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江西省安全监督管理局</w:t>
            </w:r>
            <w:r>
              <w:rPr>
                <w:rFonts w:hint="eastAsia" w:ascii="宋体" w:hAnsi="宋体" w:eastAsia="宋体" w:cs="Times New Roman"/>
                <w:color w:val="auto"/>
                <w:szCs w:val="21"/>
                <w:highlight w:val="none"/>
                <w:lang w:val="en-US" w:eastAsia="zh-CN"/>
              </w:rPr>
              <w:t>发，有效</w:t>
            </w:r>
            <w:r>
              <w:rPr>
                <w:rFonts w:hint="eastAsia" w:ascii="宋体" w:hAnsi="宋体" w:cs="Times New Roman"/>
                <w:color w:val="auto"/>
                <w:szCs w:val="21"/>
                <w:highlight w:val="none"/>
                <w:lang w:val="en-US" w:eastAsia="zh-CN"/>
              </w:rPr>
              <w:t>；</w:t>
            </w:r>
          </w:p>
          <w:p>
            <w:pPr>
              <w:pStyle w:val="2"/>
              <w:ind w:firstLine="460" w:firstLineChars="200"/>
              <w:rPr>
                <w:rFonts w:hint="default"/>
                <w:color w:val="auto"/>
                <w:lang w:val="en-US" w:eastAsia="zh-CN"/>
              </w:rPr>
            </w:pPr>
            <w:r>
              <w:rPr>
                <w:rFonts w:hint="eastAsia" w:ascii="宋体" w:hAnsi="宋体" w:cs="Times New Roman"/>
                <w:color w:val="auto"/>
                <w:szCs w:val="21"/>
                <w:highlight w:val="none"/>
                <w:lang w:val="en-US" w:eastAsia="zh-CN"/>
              </w:rPr>
              <w:t>吴XX——焊接与热切割</w:t>
            </w:r>
            <w:r>
              <w:rPr>
                <w:rFonts w:hint="eastAsia" w:ascii="宋体" w:hAnsi="宋体" w:eastAsia="宋体" w:cs="Times New Roman"/>
                <w:color w:val="auto"/>
                <w:szCs w:val="21"/>
                <w:highlight w:val="none"/>
                <w:lang w:val="en-US" w:eastAsia="zh-CN"/>
              </w:rPr>
              <w:t>，202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.12.</w:t>
            </w:r>
            <w:r>
              <w:rPr>
                <w:rFonts w:hint="eastAsia" w:ascii="宋体" w:hAnsi="宋体" w:cs="Times New Roman"/>
                <w:color w:val="auto"/>
                <w:szCs w:val="21"/>
                <w:highlight w:val="none"/>
                <w:lang w:val="en-US" w:eastAsia="zh-CN"/>
              </w:rPr>
              <w:t>28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江西省安全监督管理局</w:t>
            </w:r>
            <w:r>
              <w:rPr>
                <w:rFonts w:hint="eastAsia" w:ascii="宋体" w:hAnsi="宋体" w:eastAsia="宋体" w:cs="Times New Roman"/>
                <w:color w:val="auto"/>
                <w:szCs w:val="21"/>
                <w:highlight w:val="none"/>
                <w:lang w:val="en-US" w:eastAsia="zh-CN"/>
              </w:rPr>
              <w:t>发，有效</w:t>
            </w:r>
            <w:r>
              <w:rPr>
                <w:rFonts w:hint="eastAsia" w:ascii="宋体" w:hAnsi="宋体" w:cs="Times New Roman"/>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经与部门负责人沟通交流，</w:t>
            </w:r>
            <w:r>
              <w:rPr>
                <w:rFonts w:hint="eastAsia"/>
                <w:color w:val="auto"/>
                <w:highlight w:val="none"/>
                <w:lang w:val="en-US" w:eastAsia="zh-CN"/>
              </w:rPr>
              <w:t>主要</w:t>
            </w:r>
            <w:r>
              <w:rPr>
                <w:rFonts w:hint="default"/>
                <w:color w:val="auto"/>
                <w:highlight w:val="none"/>
                <w:lang w:val="en-US" w:eastAsia="zh-CN"/>
              </w:rPr>
              <w:t>通过培训提高岗位作业水平和环保、安全意识，</w:t>
            </w:r>
            <w:r>
              <w:rPr>
                <w:rFonts w:hint="eastAsia"/>
                <w:color w:val="auto"/>
                <w:highlight w:val="none"/>
                <w:lang w:val="en-US" w:eastAsia="zh-CN"/>
              </w:rPr>
              <w:t>询问</w:t>
            </w:r>
            <w:r>
              <w:rPr>
                <w:rFonts w:hint="default"/>
                <w:color w:val="auto"/>
                <w:highlight w:val="none"/>
                <w:lang w:val="en-US" w:eastAsia="zh-CN"/>
              </w:rPr>
              <w:t>部分员工，他们对公司的管理方针</w:t>
            </w:r>
            <w:r>
              <w:rPr>
                <w:rFonts w:hint="eastAsia"/>
                <w:color w:val="auto"/>
                <w:highlight w:val="none"/>
                <w:lang w:val="en-US" w:eastAsia="zh-CN"/>
              </w:rPr>
              <w:t>、</w:t>
            </w:r>
            <w:r>
              <w:rPr>
                <w:rFonts w:hint="default"/>
                <w:color w:val="auto"/>
                <w:highlight w:val="none"/>
                <w:lang w:val="en-US" w:eastAsia="zh-CN"/>
              </w:rPr>
              <w:t>管理目标、对环境</w:t>
            </w:r>
            <w:r>
              <w:rPr>
                <w:rFonts w:hint="eastAsia"/>
                <w:color w:val="auto"/>
                <w:highlight w:val="none"/>
                <w:lang w:val="en-US" w:eastAsia="zh-CN"/>
              </w:rPr>
              <w:t>、</w:t>
            </w:r>
            <w:r>
              <w:rPr>
                <w:rFonts w:hint="default"/>
                <w:color w:val="auto"/>
                <w:highlight w:val="none"/>
                <w:lang w:val="en-US" w:eastAsia="zh-CN"/>
              </w:rPr>
              <w:t>职业健康安全管理体系有效性的贡献，包括提高效率、技能、改进工艺和恪尽职守带来的节能减排、保护员工健康等的益处，以及因自己岗位职责疏忽带来不符合给公司环境安全承诺带来的后果。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员工能</w:t>
            </w:r>
            <w:r>
              <w:rPr>
                <w:rFonts w:hint="default"/>
                <w:color w:val="auto"/>
                <w:highlight w:val="none"/>
                <w:lang w:val="en-US" w:eastAsia="zh-CN"/>
              </w:rPr>
              <w:t>明确自身职责及岗位要求，自身工作影响，如何减少环境污染，员工人身安全意识等。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color w:val="auto"/>
                <w:highlight w:val="none"/>
                <w:lang w:val="en-US" w:eastAsia="zh-CN"/>
              </w:rPr>
              <w:t>基本能满足要求。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Ansi="宋体"/>
                <w:szCs w:val="21"/>
              </w:rPr>
              <w:t>组织知识</w:t>
            </w:r>
          </w:p>
        </w:tc>
        <w:tc>
          <w:tcPr>
            <w:tcW w:w="1140"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7.1.6</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从内部来源获取的有：多年的工作经验、教训、内部的知识产权等；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外部来源获取有：标杆对比、行业会议、客户技术要求、咨询老师传授的体系知识及所实施的内审员的培训；顾客方提供的资料等。</w:t>
            </w:r>
          </w:p>
          <w:p>
            <w:pPr>
              <w:spacing w:line="360" w:lineRule="auto"/>
              <w:ind w:firstLine="420" w:firstLineChars="20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在应对变化的需求和趋势时，相关部门考虑现有的知识，确定如何获取更多的必要的额外知识，并根据变化的情况及时更新。</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合规义务</w:t>
            </w:r>
          </w:p>
          <w:p>
            <w:pPr>
              <w:pStyle w:val="3"/>
              <w:ind w:left="0" w:leftChars="0" w:firstLine="0" w:firstLineChars="0"/>
              <w:rPr>
                <w:rFonts w:hint="default"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kern w:val="2"/>
                <w:sz w:val="21"/>
                <w:lang w:val="en-US" w:eastAsia="zh-CN" w:bidi="ar-SA"/>
              </w:rPr>
              <w:t>合规性评价</w:t>
            </w:r>
          </w:p>
        </w:tc>
        <w:tc>
          <w:tcPr>
            <w:tcW w:w="1140"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EO:6.1.3</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9.1.2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查见“环境和职业健康安全法律法规控制程序”，有效文件，无变化；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查见“职业健康安全法律法规及其他要求清单”，收集了中华人民共和国大气污染防治法</w:t>
            </w:r>
            <w:r>
              <w:rPr>
                <w:rFonts w:hint="eastAsia" w:ascii="Times New Roman" w:hAnsi="Times New Roman" w:cs="Times New Roman"/>
                <w:color w:val="auto"/>
                <w:szCs w:val="22"/>
                <w:lang w:val="en-US" w:eastAsia="zh-CN"/>
              </w:rPr>
              <w:t>、</w:t>
            </w:r>
            <w:r>
              <w:rPr>
                <w:rFonts w:hint="eastAsia" w:ascii="Times New Roman" w:hAnsi="Times New Roman" w:eastAsia="宋体" w:cs="Times New Roman"/>
                <w:color w:val="auto"/>
                <w:szCs w:val="22"/>
                <w:lang w:val="en-US" w:eastAsia="zh-CN"/>
              </w:rPr>
              <w:t>中华人民共和国固体废物污染环境防治法</w:t>
            </w:r>
            <w:r>
              <w:rPr>
                <w:rFonts w:hint="eastAsia" w:ascii="Times New Roman" w:hAnsi="Times New Roman" w:cs="Times New Roman"/>
                <w:color w:val="auto"/>
                <w:szCs w:val="22"/>
                <w:lang w:val="en-US" w:eastAsia="zh-CN"/>
              </w:rPr>
              <w:t>、</w:t>
            </w:r>
            <w:r>
              <w:rPr>
                <w:rFonts w:hint="eastAsia" w:ascii="Times New Roman" w:hAnsi="Times New Roman" w:eastAsia="宋体" w:cs="Times New Roman"/>
                <w:color w:val="auto"/>
                <w:szCs w:val="22"/>
                <w:lang w:val="en-US" w:eastAsia="zh-CN"/>
              </w:rPr>
              <w:t>中华人民共和国环境保护法</w:t>
            </w:r>
            <w:r>
              <w:rPr>
                <w:rFonts w:hint="eastAsia" w:ascii="Times New Roman" w:hAnsi="Times New Roman" w:cs="Times New Roman"/>
                <w:color w:val="auto"/>
                <w:szCs w:val="22"/>
                <w:lang w:val="en-US" w:eastAsia="zh-CN"/>
              </w:rPr>
              <w:t>、</w:t>
            </w:r>
            <w:r>
              <w:rPr>
                <w:rFonts w:hint="eastAsia" w:ascii="Times New Roman" w:hAnsi="Times New Roman" w:eastAsia="宋体" w:cs="Times New Roman"/>
                <w:color w:val="auto"/>
                <w:szCs w:val="22"/>
                <w:lang w:val="en-US" w:eastAsia="zh-CN"/>
              </w:rPr>
              <w:t>中华人民共和国环境噪声污染防治法</w:t>
            </w:r>
            <w:r>
              <w:rPr>
                <w:rFonts w:hint="eastAsia" w:ascii="Times New Roman" w:hAnsi="Times New Roman" w:cs="Times New Roman"/>
                <w:color w:val="auto"/>
                <w:szCs w:val="22"/>
                <w:lang w:val="en-US" w:eastAsia="zh-CN"/>
              </w:rPr>
              <w:t>、</w:t>
            </w:r>
            <w:r>
              <w:rPr>
                <w:rFonts w:hint="eastAsia" w:ascii="Times New Roman" w:hAnsi="Times New Roman" w:eastAsia="宋体" w:cs="Times New Roman"/>
                <w:color w:val="auto"/>
                <w:szCs w:val="22"/>
                <w:lang w:val="en-US" w:eastAsia="zh-CN"/>
              </w:rPr>
              <w:t>中华人民共和国水污染防治法</w:t>
            </w:r>
            <w:r>
              <w:rPr>
                <w:rFonts w:hint="eastAsia" w:ascii="Times New Roman" w:hAnsi="Times New Roman" w:cs="Times New Roman"/>
                <w:color w:val="auto"/>
                <w:szCs w:val="22"/>
                <w:lang w:val="en-US" w:eastAsia="zh-CN"/>
              </w:rPr>
              <w:t>、大气污染物综合排放标准、</w:t>
            </w:r>
            <w:r>
              <w:rPr>
                <w:rFonts w:hint="eastAsia"/>
              </w:rPr>
              <w:t>污水综合排放标准</w:t>
            </w:r>
            <w:r>
              <w:rPr>
                <w:rFonts w:hint="eastAsia"/>
                <w:lang w:eastAsia="zh-CN"/>
              </w:rPr>
              <w:t>、</w:t>
            </w:r>
            <w:r>
              <w:rPr>
                <w:rFonts w:hint="eastAsia" w:ascii="Times New Roman" w:hAnsi="Times New Roman" w:eastAsia="宋体" w:cs="Times New Roman"/>
                <w:color w:val="auto"/>
                <w:szCs w:val="22"/>
                <w:lang w:val="en-US" w:eastAsia="zh-CN"/>
              </w:rPr>
              <w:t>中华人民共和国安全生产法、中华人民共和国职业病防治法、中华人民共和国消防法、</w:t>
            </w:r>
            <w:r>
              <w:rPr>
                <w:rFonts w:hint="eastAsia"/>
              </w:rPr>
              <w:t>中华人民共和国道路交通安全法</w:t>
            </w:r>
            <w:r>
              <w:rPr>
                <w:rFonts w:hint="eastAsia" w:ascii="Times New Roman" w:hAnsi="Times New Roman" w:eastAsia="宋体" w:cs="Times New Roman"/>
                <w:color w:val="auto"/>
                <w:szCs w:val="22"/>
                <w:lang w:val="en-US" w:eastAsia="zh-CN"/>
              </w:rPr>
              <w:t>等</w:t>
            </w:r>
            <w:r>
              <w:rPr>
                <w:rFonts w:hint="eastAsia" w:cs="Times New Roman"/>
                <w:color w:val="auto"/>
                <w:szCs w:val="22"/>
                <w:lang w:val="en-US" w:eastAsia="zh-CN"/>
              </w:rPr>
              <w:t>121</w:t>
            </w:r>
            <w:r>
              <w:rPr>
                <w:rFonts w:hint="eastAsia" w:ascii="Times New Roman" w:hAnsi="Times New Roman" w:eastAsia="宋体" w:cs="Times New Roman"/>
                <w:color w:val="auto"/>
                <w:szCs w:val="22"/>
                <w:lang w:val="en-US" w:eastAsia="zh-CN"/>
              </w:rPr>
              <w:t>项；基本符合。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查见“合规性评价报告”，2021年3月1日开展了年度的合规性评价工作，评价结论：公司没有违反国家法律、法规及相关标准，能严格遵守国家有关环境和职业健康安全管理方面的相关规定，密切关注法律法规的变化，并适时调整，严格按体系标准执行。</w:t>
            </w:r>
          </w:p>
          <w:p>
            <w:pPr>
              <w:spacing w:line="360" w:lineRule="auto"/>
              <w:ind w:firstLine="420" w:firstLineChars="200"/>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eastAsia="宋体" w:cs="Times New Roman"/>
                <w:color w:val="auto"/>
                <w:szCs w:val="22"/>
                <w:lang w:val="en-US" w:eastAsia="zh-CN"/>
              </w:rPr>
              <w:t>保留有</w:t>
            </w:r>
            <w:r>
              <w:rPr>
                <w:rFonts w:hint="eastAsia" w:ascii="Times New Roman" w:hAnsi="Times New Roman" w:cs="Times New Roman"/>
                <w:color w:val="auto"/>
                <w:szCs w:val="22"/>
                <w:lang w:val="en-US" w:eastAsia="zh-CN"/>
              </w:rPr>
              <w:t>评价通知和</w:t>
            </w:r>
            <w:r>
              <w:rPr>
                <w:rFonts w:hint="eastAsia" w:ascii="Times New Roman" w:hAnsi="Times New Roman" w:eastAsia="宋体" w:cs="Times New Roman"/>
                <w:color w:val="auto"/>
                <w:szCs w:val="22"/>
                <w:lang w:val="en-US" w:eastAsia="zh-CN"/>
              </w:rPr>
              <w:t>评价记录。</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u w:val="none"/>
              </w:rPr>
              <w:t>运行策划和控制</w:t>
            </w:r>
          </w:p>
        </w:tc>
        <w:tc>
          <w:tcPr>
            <w:tcW w:w="1140"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u w:val="none"/>
                <w:lang w:val="en-US" w:eastAsia="zh-CN"/>
              </w:rPr>
              <w:t>EO:</w:t>
            </w:r>
            <w:r>
              <w:rPr>
                <w:rFonts w:hint="eastAsia" w:ascii="宋体" w:hAnsi="宋体" w:cs="Arial"/>
                <w:color w:val="auto"/>
                <w:spacing w:val="-6"/>
                <w:sz w:val="21"/>
                <w:szCs w:val="21"/>
                <w:u w:val="none"/>
              </w:rPr>
              <w:t>8.1</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公司策划了环境安全管理</w:t>
            </w:r>
            <w:r>
              <w:rPr>
                <w:rFonts w:hint="eastAsia" w:cs="Times New Roman"/>
                <w:color w:val="auto"/>
                <w:szCs w:val="22"/>
                <w:lang w:val="en-US" w:eastAsia="zh-CN"/>
              </w:rPr>
              <w:t>相关程序文件和管理</w:t>
            </w:r>
            <w:r>
              <w:rPr>
                <w:rFonts w:hint="eastAsia" w:ascii="Times New Roman" w:hAnsi="Times New Roman" w:eastAsia="宋体" w:cs="Times New Roman"/>
                <w:color w:val="auto"/>
                <w:szCs w:val="22"/>
                <w:lang w:val="en-US" w:eastAsia="zh-CN"/>
              </w:rPr>
              <w:t>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运行控制程序、废弃物控制程序</w:t>
            </w:r>
            <w:r>
              <w:rPr>
                <w:rFonts w:hint="eastAsia" w:cs="Times New Roman"/>
                <w:color w:val="auto"/>
                <w:szCs w:val="22"/>
                <w:lang w:val="en-US" w:eastAsia="zh-CN"/>
              </w:rPr>
              <w:t>、</w:t>
            </w:r>
            <w:r>
              <w:rPr>
                <w:rFonts w:hint="eastAsia" w:ascii="Times New Roman" w:hAnsi="Times New Roman" w:eastAsia="宋体" w:cs="Times New Roman"/>
                <w:color w:val="auto"/>
                <w:szCs w:val="22"/>
                <w:lang w:val="en-US" w:eastAsia="zh-CN"/>
              </w:rPr>
              <w:t>噪声控制程序</w:t>
            </w:r>
            <w:r>
              <w:rPr>
                <w:rFonts w:hint="eastAsia" w:cs="Times New Roman"/>
                <w:color w:val="auto"/>
                <w:szCs w:val="22"/>
                <w:lang w:val="en-US" w:eastAsia="zh-CN"/>
              </w:rPr>
              <w:t>、</w:t>
            </w:r>
            <w:r>
              <w:rPr>
                <w:rFonts w:hint="eastAsia" w:ascii="Times New Roman" w:hAnsi="Times New Roman" w:eastAsia="宋体" w:cs="Times New Roman"/>
                <w:color w:val="auto"/>
                <w:szCs w:val="22"/>
                <w:lang w:val="en-US" w:eastAsia="zh-CN"/>
              </w:rPr>
              <w:t>消防控制程序</w:t>
            </w:r>
            <w:r>
              <w:rPr>
                <w:rFonts w:hint="eastAsia" w:cs="Times New Roman"/>
                <w:color w:val="auto"/>
                <w:szCs w:val="22"/>
                <w:lang w:val="en-US" w:eastAsia="zh-CN"/>
              </w:rPr>
              <w:t>、</w:t>
            </w:r>
            <w:r>
              <w:rPr>
                <w:rFonts w:hint="eastAsia" w:ascii="Times New Roman" w:hAnsi="Times New Roman" w:eastAsia="宋体" w:cs="Times New Roman"/>
                <w:color w:val="auto"/>
                <w:szCs w:val="22"/>
                <w:lang w:val="en-US" w:eastAsia="zh-CN"/>
              </w:rPr>
              <w:t>资源能源控制程序</w:t>
            </w:r>
            <w:r>
              <w:rPr>
                <w:rFonts w:hint="eastAsia" w:cs="Times New Roman"/>
                <w:color w:val="auto"/>
                <w:szCs w:val="22"/>
                <w:lang w:val="en-US" w:eastAsia="zh-CN"/>
              </w:rPr>
              <w:t>、</w:t>
            </w:r>
            <w:r>
              <w:rPr>
                <w:rFonts w:hint="eastAsia" w:ascii="Times New Roman" w:hAnsi="Times New Roman" w:eastAsia="宋体" w:cs="Times New Roman"/>
                <w:color w:val="auto"/>
                <w:szCs w:val="22"/>
                <w:lang w:val="en-US" w:eastAsia="zh-CN"/>
              </w:rPr>
              <w:t>应急准备和响应控制程序</w:t>
            </w:r>
            <w:r>
              <w:rPr>
                <w:rFonts w:hint="eastAsia" w:cs="Times New Roman"/>
                <w:color w:val="auto"/>
                <w:szCs w:val="22"/>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现场观察：配置的办公桌符合人机工程要求，干净整洁，照明、通风良好；配置有空调，温度适宜；有少量绿植；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查见配置有灭火器，状态良好；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节约用水用电、纸张双面使用、无乱拉乱接电线、无超额电器使用；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办公环境安静，无明显噪声和废气；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办公垃圾由环卫部门收集处理；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办公用墨盒硒鼓等危废以旧换新；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对部门员工进行了不定期的交通安全宣传；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查见“</w:t>
            </w:r>
            <w:r>
              <w:rPr>
                <w:rFonts w:hint="default"/>
                <w:color w:val="auto"/>
                <w:highlight w:val="none"/>
                <w:lang w:val="en-US" w:eastAsia="zh-CN"/>
              </w:rPr>
              <w:t>相关方告知书</w:t>
            </w:r>
            <w:r>
              <w:rPr>
                <w:rFonts w:hint="eastAsia"/>
                <w:color w:val="auto"/>
                <w:highlight w:val="none"/>
                <w:lang w:val="en-US" w:eastAsia="zh-CN"/>
              </w:rPr>
              <w:t>”，有效文件，对供方进行了环境和职业健康安全有关事项的沟通。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劳保用品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查见“劳动防护用品发放管理制度”，有效文件；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szCs w:val="22"/>
                <w:highlight w:val="none"/>
                <w:lang w:val="en-US" w:eastAsia="zh-CN"/>
              </w:rPr>
              <w:t>建立有劳动防护用品发放标准、劳动防护用品需求计划，有效文件；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抽见“劳保用品发放清单”，见发放有焊工面罩、头盔、手套、口罩等，领用人签名；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szCs w:val="22"/>
                <w:highlight w:val="none"/>
                <w:lang w:val="en-US" w:eastAsia="zh-CN"/>
              </w:rPr>
            </w:pPr>
            <w:r>
              <w:rPr>
                <w:rFonts w:hint="eastAsia"/>
                <w:color w:val="auto"/>
                <w:szCs w:val="22"/>
                <w:highlight w:val="none"/>
                <w:lang w:val="en-US" w:eastAsia="zh-CN"/>
              </w:rPr>
              <w:t>查见安全生产小组会议记录，2020.10-2021.4；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highlight w:val="none"/>
                <w:lang w:val="en-US" w:eastAsia="zh-CN"/>
              </w:rPr>
            </w:pPr>
            <w:r>
              <w:rPr>
                <w:rFonts w:hint="eastAsia"/>
                <w:color w:val="auto"/>
                <w:szCs w:val="22"/>
                <w:highlight w:val="none"/>
                <w:lang w:val="en-US" w:eastAsia="zh-CN"/>
              </w:rPr>
              <w:t>劳动合同——抽查电焊岗位工人许X的劳动合同，未进行岗位职业危害告知，交流；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szCs w:val="22"/>
                <w:highlight w:val="none"/>
                <w:lang w:val="en-US" w:eastAsia="zh-CN"/>
              </w:rPr>
              <w:t>抽见安全生产责任书，公司与员工签订。</w:t>
            </w:r>
            <w:bookmarkStart w:id="0" w:name="_GoBack"/>
            <w:bookmarkEnd w:id="0"/>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成文信息</w:t>
            </w:r>
          </w:p>
        </w:tc>
        <w:tc>
          <w:tcPr>
            <w:tcW w:w="1140" w:type="dxa"/>
            <w:vAlign w:val="top"/>
          </w:tcPr>
          <w:p>
            <w:pPr>
              <w:spacing w:line="360" w:lineRule="auto"/>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QEO:7.5</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策划了公司的管理体系文件，包括：</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编制《管理手册》A/0版，管理体系于2020年01月15日发布实施；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编制程序文件27个，版本号：A/0，2020年01月15日实施；</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编制管理文件——下料剪板作业工艺指导书、冲压作业工艺指导书、折弯作业工艺指导书、焊接作业工艺指导书、钻孔作业工艺指导书、装配作业工艺指导书、监视测量设备控制规定、生产生活固废垃圾处理/利用作业指导书、员工职业健康及劳动保护管理规定、特殊过程能力评价准则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建立有外来文件清单，收集法律法规和技术标准、规范等14个；汽车、挂车及汽车列车外廓尺寸、轴荷及质量限值GB1589-2016、《汽车静倾翻稳定性台架试验方法》GB/T14172-2009、《道路车辆车辆识别代号（VIN）》GB16735-2004、《机动车用三角警告牌》GB19151-2003、《机动车运行安全技术条件》GB7258-2017、《专用汽车定型检验规程》QC/T252-1998、厢式运输车（江西广泉专用汽车制造有限公司企业技术 条件）江西广泉专用汽车制造有限公司企业技术 条件QC/T453-2002、汽车产品定型试验及报告要求2010-11-1等；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建立环境、职业健康安全法律法规和其他要求清单，共114个。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成文信息由各部门负责保存，以便查阅。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经查，基本符合标准要求。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Align w:val="top"/>
          </w:tcPr>
          <w:p>
            <w:pPr>
              <w:spacing w:line="360" w:lineRule="auto"/>
              <w:rPr>
                <w:rFonts w:hint="eastAsia" w:ascii="宋体" w:hAnsi="宋体" w:cs="Arial"/>
                <w:spacing w:val="-6"/>
                <w:sz w:val="21"/>
                <w:szCs w:val="21"/>
                <w:u w:val="none"/>
              </w:rPr>
            </w:pPr>
            <w:r>
              <w:rPr>
                <w:rFonts w:hint="eastAsia" w:ascii="宋体" w:hAnsi="宋体" w:cs="Arial"/>
                <w:spacing w:val="-6"/>
                <w:sz w:val="21"/>
                <w:szCs w:val="21"/>
                <w:u w:val="none"/>
              </w:rPr>
              <w:t>监视、测量、分析和评价总则</w:t>
            </w:r>
          </w:p>
          <w:p>
            <w:pPr>
              <w:spacing w:line="360" w:lineRule="auto"/>
              <w:rPr>
                <w:rFonts w:hint="eastAsia"/>
                <w:color w:val="auto"/>
                <w:lang w:val="en-US" w:eastAsia="zh-CN"/>
              </w:rPr>
            </w:pPr>
            <w:r>
              <w:rPr>
                <w:rFonts w:hint="eastAsia" w:ascii="宋体" w:hAnsi="宋体" w:cs="Arial"/>
                <w:spacing w:val="-6"/>
                <w:sz w:val="21"/>
                <w:szCs w:val="21"/>
                <w:u w:val="none"/>
              </w:rPr>
              <w:t>分析与评价</w:t>
            </w:r>
          </w:p>
        </w:tc>
        <w:tc>
          <w:tcPr>
            <w:tcW w:w="1140" w:type="dxa"/>
            <w:vAlign w:val="top"/>
          </w:tcPr>
          <w:p>
            <w:pPr>
              <w:spacing w:line="360" w:lineRule="auto"/>
              <w:jc w:val="center"/>
              <w:rPr>
                <w:rFonts w:hint="eastAsia" w:ascii="宋体" w:hAnsi="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Q:9.1.1</w:t>
            </w:r>
          </w:p>
          <w:p>
            <w:pPr>
              <w:spacing w:line="360" w:lineRule="auto"/>
              <w:jc w:val="center"/>
              <w:rPr>
                <w:rFonts w:hint="default"/>
                <w:lang w:val="en-US" w:eastAsia="zh-CN"/>
              </w:rPr>
            </w:pPr>
            <w:r>
              <w:rPr>
                <w:rFonts w:hint="eastAsia" w:ascii="宋体" w:hAnsi="宋体" w:cs="Arial"/>
                <w:color w:val="auto"/>
                <w:spacing w:val="-6"/>
                <w:kern w:val="2"/>
                <w:sz w:val="21"/>
                <w:szCs w:val="21"/>
                <w:lang w:val="en-US" w:eastAsia="zh-CN" w:bidi="ar-SA"/>
              </w:rPr>
              <w:t>9.1.3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公司在管理手册中明确了监视测量的要求，</w:t>
            </w:r>
            <w:r>
              <w:rPr>
                <w:rFonts w:hint="default"/>
                <w:color w:val="auto"/>
                <w:lang w:val="en-US" w:eastAsia="zh-CN"/>
              </w:rPr>
              <w:t>制定了《顾客满意度测量控制程序》、《管理评审控制程序》和《内部审核控制程序》等程序。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yellow"/>
                <w:lang w:val="en-US" w:eastAsia="zh-CN"/>
              </w:rPr>
            </w:pPr>
            <w:r>
              <w:rPr>
                <w:rFonts w:hint="eastAsia"/>
                <w:color w:val="auto"/>
                <w:highlight w:val="none"/>
                <w:lang w:val="en-US" w:eastAsia="zh-CN"/>
              </w:rPr>
              <w:t>行政部保留“目标考核表”，对各部门完成目标情况进行监测；</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查见“环境安全运行检查记录”，每月一次，抽见2021年1-5月，对固废集中收集、安全用电、消防安全、持证上岗等情况进行检查，均正常。</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提供三废“检测报告”，对废水、废气、噪声的排放浓度进行了检测；江西纵天横科技有限公司出具，2021.5.7；</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检测结果：</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废水：污水综合排放标准表4三级标准限值，符合；</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有组织废气、无组织废气：大气污染物综合排放标准表2二级标准限值，符合；</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厂界噪声：工业企业厂界环境噪声排放标准2类标准，符合；</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提供“工作场所职业病危害因素检测报告”，2021.3.31，宜春市安尔康职业卫生技术有限公司出具；其中检测范围中的二车间即为本公司的作业场所；</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检测依据：工业场所有害因素职业接触限值第1部分 化学有害因素GBZ2.1-2019</w:t>
            </w:r>
          </w:p>
          <w:p>
            <w:pPr>
              <w:pStyle w:val="3"/>
              <w:keepNext w:val="0"/>
              <w:keepLines w:val="0"/>
              <w:pageBreakBefore w:val="0"/>
              <w:widowControl w:val="0"/>
              <w:kinsoku/>
              <w:wordWrap/>
              <w:overflowPunct/>
              <w:topLinePunct w:val="0"/>
              <w:autoSpaceDE/>
              <w:autoSpaceDN/>
              <w:bidi w:val="0"/>
              <w:adjustRightInd/>
              <w:snapToGrid/>
              <w:spacing w:line="360" w:lineRule="auto"/>
              <w:ind w:firstLine="1470" w:firstLineChars="700"/>
              <w:textAlignment w:val="auto"/>
              <w:rPr>
                <w:rFonts w:hint="default"/>
                <w:color w:val="auto"/>
                <w:highlight w:val="none"/>
                <w:lang w:val="en-US" w:eastAsia="zh-CN"/>
              </w:rPr>
            </w:pPr>
            <w:r>
              <w:rPr>
                <w:rFonts w:hint="eastAsia"/>
                <w:color w:val="auto"/>
                <w:highlight w:val="none"/>
                <w:lang w:val="en-US" w:eastAsia="zh-CN"/>
              </w:rPr>
              <w:t>工业场所有害因素职业接触限值第2部分 物理因素GBZ2.2-2007</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检测结果：</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紫外辐射——合格；</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噪声——合格；</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粉尘（电焊烟尘）——合格；</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化学毒物——合格。</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提供了“职业健康检查报告”，2021.4.21，宜春美年大健康慈航体检中心出具。本公司员工参与“江西广泉钢艺集团有限公司”组织的职业健康体检，本公司未发现在岗人员禁忌症；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highlight w:val="none"/>
                <w:lang w:val="en-US" w:eastAsia="zh-CN"/>
              </w:rPr>
              <w:t>对目标完成、顾客满意等进行统计分析，保留分析结果。</w:t>
            </w:r>
          </w:p>
        </w:tc>
        <w:tc>
          <w:tcPr>
            <w:tcW w:w="1585" w:type="dxa"/>
            <w:vAlign w:val="top"/>
          </w:tcPr>
          <w:p>
            <w:pPr>
              <w:spacing w:line="360" w:lineRule="auto"/>
              <w:rPr>
                <w:rFonts w:hint="default"/>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spacing w:line="360" w:lineRule="auto"/>
              <w:rPr>
                <w:rFonts w:ascii="Times New Roman" w:hAnsi="Times New Roman" w:eastAsia="宋体" w:cs="Times New Roman"/>
                <w:color w:val="0000FF"/>
                <w:kern w:val="2"/>
                <w:sz w:val="21"/>
                <w:lang w:val="en-US" w:eastAsia="zh-CN" w:bidi="ar-SA"/>
              </w:rPr>
            </w:pPr>
            <w:r>
              <w:rPr>
                <w:rFonts w:hint="eastAsia"/>
                <w:color w:val="auto"/>
              </w:rPr>
              <w:t>内部审核</w:t>
            </w:r>
          </w:p>
        </w:tc>
        <w:tc>
          <w:tcPr>
            <w:tcW w:w="114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w:t>
            </w:r>
            <w:r>
              <w:rPr>
                <w:rFonts w:hint="eastAsia" w:ascii="宋体" w:hAnsi="宋体" w:eastAsia="宋体" w:cs="Arial"/>
                <w:color w:val="auto"/>
                <w:spacing w:val="-6"/>
                <w:kern w:val="2"/>
                <w:sz w:val="21"/>
                <w:szCs w:val="21"/>
                <w:lang w:val="en-US" w:eastAsia="zh-CN" w:bidi="ar-SA"/>
              </w:rPr>
              <w:t>EO:9.2</w:t>
            </w:r>
          </w:p>
          <w:p>
            <w:pPr>
              <w:pStyle w:val="3"/>
              <w:spacing w:line="360" w:lineRule="auto"/>
              <w:ind w:left="0" w:leftChars="0" w:firstLine="0" w:firstLineChars="0"/>
              <w:jc w:val="center"/>
              <w:rPr>
                <w:rFonts w:hint="default"/>
                <w:lang w:val="en-US" w:eastAsia="zh-CN"/>
              </w:rPr>
            </w:pPr>
            <w:r>
              <w:rPr>
                <w:rFonts w:hint="eastAsia" w:ascii="宋体" w:hAnsi="宋体" w:cs="Arial"/>
                <w:color w:val="auto"/>
                <w:spacing w:val="-6"/>
                <w:sz w:val="21"/>
                <w:szCs w:val="21"/>
                <w:lang w:val="en-US" w:eastAsia="zh-CN"/>
              </w:rPr>
              <w:t>10.2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制定有《内部审核程序》，有效文件，无变化；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szCs w:val="21"/>
              </w:rPr>
              <w:t>20</w:t>
            </w:r>
            <w:r>
              <w:rPr>
                <w:rFonts w:hint="eastAsia"/>
                <w:color w:val="auto"/>
                <w:szCs w:val="21"/>
                <w:lang w:val="en-US" w:eastAsia="zh-CN"/>
              </w:rPr>
              <w:t>21</w:t>
            </w:r>
            <w:r>
              <w:rPr>
                <w:color w:val="auto"/>
                <w:szCs w:val="21"/>
              </w:rPr>
              <w:t>年</w:t>
            </w:r>
            <w:r>
              <w:rPr>
                <w:rFonts w:hint="eastAsia"/>
                <w:color w:val="auto"/>
                <w:szCs w:val="21"/>
                <w:lang w:val="en-US" w:eastAsia="zh-CN"/>
              </w:rPr>
              <w:t>4</w:t>
            </w:r>
            <w:r>
              <w:rPr>
                <w:color w:val="auto"/>
                <w:szCs w:val="21"/>
              </w:rPr>
              <w:t>月</w:t>
            </w:r>
            <w:r>
              <w:rPr>
                <w:rFonts w:hint="eastAsia"/>
                <w:color w:val="auto"/>
                <w:szCs w:val="21"/>
                <w:lang w:val="en-US" w:eastAsia="zh-CN"/>
              </w:rPr>
              <w:t>12-13</w:t>
            </w:r>
            <w:r>
              <w:rPr>
                <w:color w:val="auto"/>
                <w:szCs w:val="21"/>
              </w:rPr>
              <w:t>日</w:t>
            </w:r>
            <w:r>
              <w:rPr>
                <w:rFonts w:hint="eastAsia"/>
                <w:color w:val="auto"/>
                <w:lang w:val="en-US" w:eastAsia="zh-CN"/>
              </w:rPr>
              <w:t>对贯标的各职能部门、生产单位进行内部审核，保留了内审计划、内审记录、不符合报告、内审报告；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内审结论为：三体系运行基本良好，运行达到一定的效果，基本符合ISO9001:2015；ISO14001:2015；ISO45001:2018标准的要求，但仍存在不足，各部门应举一反三，对类似问题予以整改。</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保持《不符合、纠正和预防措施控制程序》、《事故调查处理控制程序》，有效文件，无变化；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本次内审开具一份不符合项报告，进行了不合格原因分析，制定并实施了纠正措施，进行了效果验证。</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pPr>
              <w:jc w:val="left"/>
              <w:rPr>
                <w:rFonts w:hint="eastAsia" w:ascii="Times New Roman" w:hAnsi="Times New Roman" w:eastAsia="宋体" w:cs="Times New Roman"/>
                <w:color w:val="auto"/>
                <w:kern w:val="2"/>
                <w:sz w:val="21"/>
                <w:highlight w:val="none"/>
                <w:lang w:val="en-US" w:eastAsia="zh-CN" w:bidi="ar-SA"/>
              </w:rPr>
            </w:pPr>
            <w:r>
              <w:rPr>
                <w:rFonts w:hAnsi="宋体"/>
                <w:szCs w:val="21"/>
                <w:highlight w:val="none"/>
              </w:rPr>
              <w:t>应急准备和响应</w:t>
            </w:r>
          </w:p>
        </w:tc>
        <w:tc>
          <w:tcPr>
            <w:tcW w:w="1140" w:type="dxa"/>
            <w:vAlign w:val="center"/>
          </w:tcPr>
          <w:p>
            <w:pPr>
              <w:spacing w:line="360" w:lineRule="auto"/>
              <w:jc w:val="center"/>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E：8.2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保持有：触电应急预案</w:t>
            </w:r>
            <w:r>
              <w:rPr>
                <w:rFonts w:hint="eastAsia"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火灾应急预案</w:t>
            </w:r>
            <w:r>
              <w:rPr>
                <w:rFonts w:hint="eastAsia" w:cs="Times New Roman" w:eastAsiaTheme="minorEastAsia"/>
                <w:color w:val="auto"/>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机械伤害应急预案；基本符合；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保留“应急救援预案演练计划”，见对上述预案策划了演练；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color w:val="auto"/>
                <w:highlight w:val="none"/>
                <w:lang w:val="en-US" w:eastAsia="zh-CN"/>
              </w:rPr>
              <w:t>查见“环境安全运行检查记录”，对应急物资有准备和必要的检查；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查见“应急预案演练记录”，显示2021年1月15日，公司组织进行了触电应急救援演练方案；明确了演练</w:t>
            </w:r>
            <w:r>
              <w:rPr>
                <w:rFonts w:hint="eastAsia" w:cs="Times New Roman" w:eastAsiaTheme="minorEastAsia"/>
                <w:color w:val="auto"/>
                <w:sz w:val="21"/>
                <w:szCs w:val="21"/>
                <w:highlight w:val="none"/>
                <w:lang w:val="en-US" w:eastAsia="zh-CN"/>
              </w:rPr>
              <w:t>时间、地点、目的、演练总结</w:t>
            </w:r>
            <w:r>
              <w:rPr>
                <w:rFonts w:hint="eastAsia" w:ascii="Times New Roman" w:hAnsi="Times New Roman" w:cs="Times New Roman" w:eastAsiaTheme="minorEastAsia"/>
                <w:color w:val="auto"/>
                <w:sz w:val="21"/>
                <w:szCs w:val="21"/>
                <w:highlight w:val="none"/>
                <w:lang w:val="en-US" w:eastAsia="zh-CN"/>
              </w:rPr>
              <w:t>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总结：存在问题，个别人员认为是搞演练存在无所谓的思想，很不严肃。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下步工作：认真抓好职工安全教育培训，开展技能练兵，提高业务素质。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highlight w:val="yellow"/>
                <w:lang w:val="en-US" w:eastAsia="zh-CN" w:bidi="ar-SA"/>
              </w:rPr>
            </w:pPr>
            <w:r>
              <w:rPr>
                <w:rFonts w:hint="eastAsia" w:ascii="Times New Roman" w:hAnsi="Times New Roman" w:cs="Times New Roman" w:eastAsiaTheme="minorEastAsia"/>
                <w:color w:val="auto"/>
                <w:sz w:val="21"/>
                <w:szCs w:val="21"/>
                <w:highlight w:val="none"/>
                <w:lang w:val="en-US" w:eastAsia="zh-CN"/>
              </w:rPr>
              <w:t>另查见2021年2月25日、2021年3月29日，公司组织进行了火灾应急演练记录、机械伤害事故应急演练；同上。</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lang w:val="en-US" w:eastAsia="zh-CN"/>
              </w:rPr>
              <w:t>Y</w:t>
            </w:r>
          </w:p>
        </w:tc>
      </w:tr>
    </w:tbl>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502B0"/>
    <w:rsid w:val="16803A30"/>
    <w:rsid w:val="255F40BC"/>
    <w:rsid w:val="285D62E1"/>
    <w:rsid w:val="2A524930"/>
    <w:rsid w:val="30D639C8"/>
    <w:rsid w:val="37AB2DC7"/>
    <w:rsid w:val="3FB3442B"/>
    <w:rsid w:val="41495ED3"/>
    <w:rsid w:val="4ACF0E85"/>
    <w:rsid w:val="51C36364"/>
    <w:rsid w:val="61BE4A1B"/>
    <w:rsid w:val="623B68EB"/>
    <w:rsid w:val="62525022"/>
    <w:rsid w:val="64647F70"/>
    <w:rsid w:val="65F814BB"/>
    <w:rsid w:val="68DA78C4"/>
    <w:rsid w:val="6952544E"/>
    <w:rsid w:val="6D40452B"/>
    <w:rsid w:val="718D2DB5"/>
    <w:rsid w:val="728F3F70"/>
    <w:rsid w:val="79A374AF"/>
    <w:rsid w:val="7A7E6F3E"/>
    <w:rsid w:val="7BAB2316"/>
    <w:rsid w:val="7BFB58B8"/>
    <w:rsid w:val="7E9F3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9</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2021-06-21T03:30:02Z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