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6"/>
        <w:gridCol w:w="1145"/>
        <w:gridCol w:w="984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3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45" w:type="dxa"/>
            <w:vMerge w:val="restart"/>
            <w:vAlign w:val="center"/>
          </w:tcPr>
          <w:p>
            <w:pPr>
              <w:rPr>
                <w:sz w:val="24"/>
                <w:szCs w:val="24"/>
              </w:rPr>
            </w:pPr>
            <w:r>
              <w:rPr>
                <w:rFonts w:hint="eastAsia"/>
                <w:sz w:val="24"/>
                <w:szCs w:val="24"/>
              </w:rPr>
              <w:t>涉及</w:t>
            </w:r>
          </w:p>
          <w:p>
            <w:r>
              <w:rPr>
                <w:rFonts w:hint="eastAsia"/>
                <w:sz w:val="24"/>
                <w:szCs w:val="24"/>
              </w:rPr>
              <w:t>条款</w:t>
            </w:r>
          </w:p>
        </w:tc>
        <w:tc>
          <w:tcPr>
            <w:tcW w:w="9843"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余淮清    </w:t>
            </w:r>
            <w:r>
              <w:rPr>
                <w:rFonts w:hint="eastAsia"/>
                <w:sz w:val="24"/>
                <w:szCs w:val="24"/>
              </w:rPr>
              <w:t>陪同人员：</w:t>
            </w:r>
            <w:r>
              <w:rPr>
                <w:rFonts w:hint="eastAsia"/>
                <w:sz w:val="24"/>
                <w:szCs w:val="24"/>
                <w:lang w:val="en-US" w:eastAsia="zh-CN"/>
              </w:rPr>
              <w:t>姜建平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36" w:type="dxa"/>
            <w:vMerge w:val="continue"/>
            <w:vAlign w:val="center"/>
          </w:tcPr>
          <w:p/>
        </w:tc>
        <w:tc>
          <w:tcPr>
            <w:tcW w:w="1145" w:type="dxa"/>
            <w:vMerge w:val="continue"/>
            <w:vAlign w:val="center"/>
          </w:tcPr>
          <w:p/>
        </w:tc>
        <w:tc>
          <w:tcPr>
            <w:tcW w:w="984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褚敏杰 谢建辉         </w:t>
            </w:r>
            <w:r>
              <w:rPr>
                <w:rFonts w:hint="eastAsia"/>
                <w:sz w:val="24"/>
                <w:szCs w:val="24"/>
              </w:rPr>
              <w:t>审核时间：</w:t>
            </w:r>
            <w:r>
              <w:rPr>
                <w:rFonts w:hint="eastAsia"/>
                <w:sz w:val="24"/>
                <w:szCs w:val="24"/>
                <w:lang w:val="en-US" w:eastAsia="zh-CN"/>
              </w:rPr>
              <w:t>2021.6.20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36" w:type="dxa"/>
            <w:vMerge w:val="continue"/>
            <w:vAlign w:val="center"/>
          </w:tcPr>
          <w:p/>
        </w:tc>
        <w:tc>
          <w:tcPr>
            <w:tcW w:w="1145" w:type="dxa"/>
            <w:vMerge w:val="continue"/>
            <w:vAlign w:val="center"/>
          </w:tcPr>
          <w:p/>
        </w:tc>
        <w:tc>
          <w:tcPr>
            <w:tcW w:w="9843" w:type="dxa"/>
            <w:vAlign w:val="center"/>
          </w:tcPr>
          <w:p>
            <w:pPr>
              <w:rPr>
                <w:rFonts w:hint="eastAsia"/>
              </w:rPr>
            </w:pPr>
            <w:r>
              <w:rPr>
                <w:rFonts w:hint="eastAsia"/>
              </w:rPr>
              <w:t>审核条款：</w:t>
            </w:r>
          </w:p>
          <w:p>
            <w:pPr>
              <w:keepNext w:val="0"/>
              <w:keepLines w:val="0"/>
              <w:pageBreakBefore w:val="0"/>
              <w:widowControl w:val="0"/>
              <w:kinsoku/>
              <w:wordWrap/>
              <w:overflowPunct/>
              <w:topLinePunct w:val="0"/>
              <w:autoSpaceDE/>
              <w:autoSpaceDN/>
              <w:bidi w:val="0"/>
              <w:adjustRightInd/>
              <w:snapToGrid w:val="0"/>
              <w:spacing w:line="240" w:lineRule="auto"/>
              <w:ind w:right="105" w:rightChars="50"/>
              <w:jc w:val="left"/>
              <w:textAlignment w:val="auto"/>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Q:5.3组织的岗位、职责和权限、6.2质量目标、7.1.3基础设施、7.1.4运行环境、8.5.1生产和服务提供的控制、8.5.2产品标识和可追朔性、8.5.4产品防护、8.5.6更改控制</w:t>
            </w:r>
          </w:p>
          <w:p>
            <w:pPr>
              <w:pStyle w:val="3"/>
              <w:spacing w:line="240" w:lineRule="auto"/>
              <w:ind w:left="0" w:leftChars="0" w:firstLine="0" w:firstLineChars="0"/>
            </w:pPr>
            <w:r>
              <w:rPr>
                <w:rFonts w:hint="eastAsia" w:ascii="宋体" w:hAnsi="宋体" w:eastAsia="宋体" w:cs="Arial"/>
                <w:spacing w:val="-6"/>
                <w:sz w:val="21"/>
                <w:szCs w:val="21"/>
                <w:lang w:val="en-US" w:eastAsia="zh-CN"/>
              </w:rPr>
              <w:t>E/O:5.3组织的岗位、职责和权限、6.2环境/职业健康安全目标、6.1.2环境因素/危险源的识别与评价、6.1.4措施的策划、8.1运行策划和控制、8.2应急准备和响应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spacing w:val="-6"/>
                <w:sz w:val="21"/>
                <w:szCs w:val="21"/>
              </w:rPr>
              <w:t>组织的岗位、职责和权限</w:t>
            </w:r>
          </w:p>
        </w:tc>
        <w:tc>
          <w:tcPr>
            <w:tcW w:w="114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pacing w:val="-6"/>
                <w:kern w:val="2"/>
                <w:sz w:val="21"/>
                <w:szCs w:val="21"/>
                <w:lang w:val="en-US" w:eastAsia="zh-CN" w:bidi="ar-SA"/>
              </w:rPr>
            </w:pPr>
            <w:r>
              <w:rPr>
                <w:rFonts w:hint="eastAsia" w:asciiTheme="minorEastAsia" w:hAnsiTheme="minorEastAsia" w:eastAsiaTheme="minorEastAsia" w:cstheme="minorEastAsia"/>
                <w:color w:val="auto"/>
                <w:spacing w:val="-6"/>
                <w:kern w:val="2"/>
                <w:sz w:val="21"/>
                <w:szCs w:val="21"/>
                <w:lang w:val="en-US" w:eastAsia="zh-CN" w:bidi="ar-SA"/>
              </w:rPr>
              <w:t>QEO:5.3</w:t>
            </w:r>
          </w:p>
        </w:tc>
        <w:tc>
          <w:tcPr>
            <w:tcW w:w="9843" w:type="dxa"/>
          </w:tcPr>
          <w:p>
            <w:pPr>
              <w:spacing w:line="360" w:lineRule="auto"/>
              <w:ind w:firstLine="420" w:firstLineChars="200"/>
              <w:rPr>
                <w:rFonts w:hint="eastAsia"/>
                <w:lang w:val="en-US" w:eastAsia="zh-CN"/>
              </w:rPr>
            </w:pPr>
            <w:r>
              <w:rPr>
                <w:rFonts w:hint="eastAsia"/>
                <w:lang w:val="en-US" w:eastAsia="zh-CN"/>
              </w:rPr>
              <w:t>生产部（车间）现有</w:t>
            </w:r>
            <w:r>
              <w:rPr>
                <w:rFonts w:hint="eastAsia"/>
                <w:highlight w:val="none"/>
                <w:lang w:val="en-US" w:eastAsia="zh-CN"/>
              </w:rPr>
              <w:t>人员10余人</w:t>
            </w:r>
            <w:r>
              <w:rPr>
                <w:rFonts w:hint="eastAsia"/>
                <w:lang w:val="en-US" w:eastAsia="zh-CN"/>
              </w:rPr>
              <w:t>，车间主任1人，技术工程师2人，生产作业人员7人；</w:t>
            </w:r>
          </w:p>
          <w:p>
            <w:pPr>
              <w:spacing w:line="360" w:lineRule="auto"/>
              <w:ind w:firstLine="420" w:firstLineChars="200"/>
              <w:rPr>
                <w:rFonts w:hint="eastAsia"/>
                <w:lang w:val="en-US" w:eastAsia="zh-CN"/>
              </w:rPr>
            </w:pPr>
            <w:r>
              <w:rPr>
                <w:rFonts w:hint="eastAsia"/>
                <w:lang w:val="en-US" w:eastAsia="zh-CN"/>
              </w:rPr>
              <w:t>主要负责：产品生产、质量控制，设备维护和仓库管理；</w:t>
            </w:r>
          </w:p>
          <w:p>
            <w:pPr>
              <w:spacing w:line="360" w:lineRule="auto"/>
              <w:ind w:firstLine="420" w:firstLineChars="200"/>
              <w:rPr>
                <w:rFonts w:hint="default"/>
                <w:lang w:val="en-US" w:eastAsia="zh-CN"/>
              </w:rPr>
            </w:pPr>
            <w:r>
              <w:rPr>
                <w:rFonts w:hint="eastAsia" w:asciiTheme="minorEastAsia" w:hAnsiTheme="minorEastAsia" w:eastAsiaTheme="minorEastAsia" w:cstheme="minorEastAsia"/>
                <w:lang w:val="en-US" w:eastAsia="zh-CN"/>
              </w:rPr>
              <w:t>本部门的环境和职业健康安全管理。</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lang w:val="en-US" w:eastAsia="zh-CN"/>
              </w:rPr>
              <w:t>目标及实现措施</w:t>
            </w:r>
          </w:p>
        </w:tc>
        <w:tc>
          <w:tcPr>
            <w:tcW w:w="114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pacing w:val="-6"/>
                <w:kern w:val="2"/>
                <w:sz w:val="21"/>
                <w:szCs w:val="21"/>
                <w:lang w:val="en-US" w:eastAsia="zh-CN" w:bidi="ar-SA"/>
              </w:rPr>
            </w:pPr>
            <w:r>
              <w:rPr>
                <w:rFonts w:hint="eastAsia" w:asciiTheme="minorEastAsia" w:hAnsiTheme="minorEastAsia" w:eastAsiaTheme="minorEastAsia" w:cstheme="minorEastAsia"/>
                <w:color w:val="auto"/>
                <w:spacing w:val="-6"/>
                <w:kern w:val="2"/>
                <w:sz w:val="21"/>
                <w:szCs w:val="21"/>
                <w:lang w:val="en-US" w:eastAsia="zh-CN" w:bidi="ar-SA"/>
              </w:rPr>
              <w:t>QEO:6.2</w:t>
            </w:r>
          </w:p>
        </w:tc>
        <w:tc>
          <w:tcPr>
            <w:tcW w:w="9843" w:type="dxa"/>
          </w:tcPr>
          <w:p>
            <w:pPr>
              <w:spacing w:line="360" w:lineRule="auto"/>
              <w:ind w:firstLine="420" w:firstLineChars="200"/>
              <w:rPr>
                <w:rFonts w:hint="default" w:ascii="宋体" w:hAnsi="宋体" w:cs="Times New Roman"/>
                <w:color w:val="000000"/>
                <w:sz w:val="21"/>
                <w:szCs w:val="21"/>
                <w:lang w:val="en-US" w:eastAsia="zh-CN"/>
              </w:rPr>
            </w:pPr>
            <w:r>
              <w:rPr>
                <w:rFonts w:hint="eastAsia" w:ascii="宋体" w:hAnsi="宋体" w:cs="Times New Roman"/>
                <w:color w:val="000000"/>
                <w:sz w:val="21"/>
                <w:szCs w:val="21"/>
                <w:lang w:val="en-US" w:eastAsia="zh-CN"/>
              </w:rPr>
              <w:t>查“质量\环境\职业健康安全目标分解考核表”，见生产部目标为：</w:t>
            </w:r>
          </w:p>
          <w:p>
            <w:pPr>
              <w:spacing w:line="360" w:lineRule="auto"/>
              <w:ind w:firstLine="420" w:firstLineChars="200"/>
              <w:rPr>
                <w:rFonts w:hint="eastAsia" w:ascii="宋体" w:hAnsi="宋体" w:cs="Times New Roman"/>
                <w:color w:val="000000"/>
                <w:sz w:val="21"/>
                <w:szCs w:val="21"/>
              </w:rPr>
            </w:pPr>
            <w:r>
              <w:rPr>
                <w:rFonts w:hint="eastAsia" w:ascii="宋体" w:hAnsi="宋体" w:cs="Times New Roman"/>
                <w:color w:val="000000"/>
                <w:sz w:val="21"/>
                <w:szCs w:val="21"/>
              </w:rPr>
              <w:t>a.生产设备完好率≥90%；</w:t>
            </w:r>
          </w:p>
          <w:p>
            <w:pPr>
              <w:spacing w:line="360" w:lineRule="auto"/>
              <w:ind w:firstLine="420" w:firstLineChars="200"/>
              <w:rPr>
                <w:rFonts w:hint="eastAsia" w:ascii="宋体" w:hAnsi="宋体" w:cs="Times New Roman"/>
                <w:color w:val="000000"/>
                <w:sz w:val="21"/>
                <w:szCs w:val="21"/>
                <w:lang w:eastAsia="zh-CN"/>
              </w:rPr>
            </w:pPr>
            <w:r>
              <w:rPr>
                <w:rFonts w:hint="eastAsia" w:ascii="宋体" w:hAnsi="宋体" w:cs="Times New Roman"/>
                <w:color w:val="000000"/>
                <w:sz w:val="21"/>
                <w:szCs w:val="21"/>
                <w:lang w:val="en-US" w:eastAsia="zh-CN"/>
              </w:rPr>
              <w:t>b.</w:t>
            </w:r>
            <w:r>
              <w:rPr>
                <w:rFonts w:hint="eastAsia" w:ascii="宋体" w:hAnsi="宋体" w:cs="Times New Roman"/>
                <w:color w:val="000000"/>
                <w:sz w:val="21"/>
                <w:szCs w:val="21"/>
              </w:rPr>
              <w:t>产品一次交验合格率≥98%</w:t>
            </w:r>
            <w:r>
              <w:rPr>
                <w:rFonts w:hint="eastAsia" w:ascii="宋体" w:hAnsi="宋体" w:cs="Times New Roman"/>
                <w:color w:val="000000"/>
                <w:sz w:val="21"/>
                <w:szCs w:val="21"/>
                <w:lang w:eastAsia="zh-CN"/>
              </w:rPr>
              <w:t>；</w:t>
            </w:r>
          </w:p>
          <w:p>
            <w:pPr>
              <w:spacing w:line="360" w:lineRule="auto"/>
              <w:ind w:firstLine="420" w:firstLineChars="200"/>
              <w:rPr>
                <w:rFonts w:hint="eastAsia" w:ascii="宋体" w:hAnsi="宋体" w:cs="Times New Roman"/>
                <w:color w:val="000000"/>
                <w:sz w:val="21"/>
                <w:szCs w:val="21"/>
                <w:lang w:eastAsia="zh-CN"/>
              </w:rPr>
            </w:pPr>
            <w:r>
              <w:rPr>
                <w:rFonts w:hint="eastAsia" w:ascii="宋体" w:hAnsi="宋体" w:cs="Times New Roman"/>
                <w:color w:val="000000"/>
                <w:sz w:val="21"/>
                <w:szCs w:val="21"/>
              </w:rPr>
              <w:t>c</w:t>
            </w:r>
            <w:r>
              <w:rPr>
                <w:rFonts w:hint="eastAsia" w:ascii="宋体" w:hAnsi="宋体" w:cs="Times New Roman"/>
                <w:color w:val="000000"/>
                <w:sz w:val="21"/>
                <w:szCs w:val="21"/>
                <w:lang w:val="en-US" w:eastAsia="zh-CN"/>
              </w:rPr>
              <w:t>.</w:t>
            </w:r>
            <w:r>
              <w:rPr>
                <w:rFonts w:hint="eastAsia" w:ascii="宋体" w:hAnsi="宋体" w:cs="Times New Roman"/>
                <w:color w:val="000000"/>
                <w:sz w:val="21"/>
                <w:szCs w:val="21"/>
              </w:rPr>
              <w:t>因公责任重大伤亡事故为0；职业病发病率为0</w:t>
            </w:r>
            <w:r>
              <w:rPr>
                <w:rFonts w:hint="eastAsia" w:ascii="宋体" w:hAnsi="宋体" w:cs="Times New Roman"/>
                <w:color w:val="000000"/>
                <w:sz w:val="21"/>
                <w:szCs w:val="21"/>
                <w:lang w:eastAsia="zh-CN"/>
              </w:rPr>
              <w:t>；</w:t>
            </w:r>
          </w:p>
          <w:p>
            <w:pPr>
              <w:spacing w:line="360" w:lineRule="auto"/>
              <w:ind w:firstLine="420" w:firstLineChars="200"/>
              <w:rPr>
                <w:rFonts w:hint="eastAsia" w:ascii="宋体" w:hAnsi="宋体" w:cs="Times New Roman"/>
                <w:color w:val="000000"/>
                <w:sz w:val="21"/>
                <w:szCs w:val="21"/>
              </w:rPr>
            </w:pPr>
            <w:r>
              <w:rPr>
                <w:rFonts w:hint="eastAsia" w:ascii="宋体" w:hAnsi="宋体" w:cs="Times New Roman"/>
                <w:color w:val="000000"/>
                <w:sz w:val="21"/>
                <w:szCs w:val="21"/>
              </w:rPr>
              <w:t>d</w:t>
            </w:r>
            <w:r>
              <w:rPr>
                <w:rFonts w:hint="eastAsia" w:ascii="宋体" w:hAnsi="宋体" w:cs="Times New Roman"/>
                <w:color w:val="000000"/>
                <w:sz w:val="21"/>
                <w:szCs w:val="21"/>
                <w:lang w:val="en-US" w:eastAsia="zh-CN"/>
              </w:rPr>
              <w:t>.</w:t>
            </w:r>
            <w:r>
              <w:rPr>
                <w:rFonts w:hint="eastAsia" w:ascii="宋体" w:hAnsi="宋体" w:cs="Times New Roman"/>
                <w:color w:val="000000"/>
                <w:sz w:val="21"/>
                <w:szCs w:val="21"/>
              </w:rPr>
              <w:t>火灾、触电事故、机械伤害事故为0；</w:t>
            </w:r>
          </w:p>
          <w:p>
            <w:pPr>
              <w:spacing w:line="360" w:lineRule="auto"/>
              <w:ind w:firstLine="420" w:firstLineChars="200"/>
              <w:rPr>
                <w:rFonts w:hint="eastAsia" w:ascii="宋体" w:hAnsi="宋体" w:cs="Times New Roman"/>
                <w:color w:val="000000"/>
                <w:sz w:val="21"/>
                <w:szCs w:val="21"/>
              </w:rPr>
            </w:pPr>
            <w:r>
              <w:rPr>
                <w:rFonts w:hint="eastAsia" w:ascii="宋体" w:hAnsi="宋体" w:cs="Times New Roman"/>
                <w:color w:val="000000"/>
                <w:sz w:val="21"/>
                <w:szCs w:val="21"/>
              </w:rPr>
              <w:t>e</w:t>
            </w:r>
            <w:r>
              <w:rPr>
                <w:rFonts w:hint="eastAsia" w:ascii="宋体" w:hAnsi="宋体" w:cs="Times New Roman"/>
                <w:color w:val="000000"/>
                <w:sz w:val="21"/>
                <w:szCs w:val="21"/>
                <w:lang w:val="en-US" w:eastAsia="zh-CN"/>
              </w:rPr>
              <w:t>.</w:t>
            </w:r>
            <w:r>
              <w:rPr>
                <w:rFonts w:hint="eastAsia" w:ascii="宋体" w:hAnsi="宋体" w:cs="Times New Roman"/>
                <w:color w:val="000000"/>
                <w:sz w:val="21"/>
                <w:szCs w:val="21"/>
              </w:rPr>
              <w:t>固体废弃物分类处置率100%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查见“目标与管理方案及实施情况一览表”，对指标、措施、时间要求、责任部门、责任人进行了明确；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color w:val="auto"/>
                <w:highlight w:val="none"/>
                <w:lang w:val="en-US" w:eastAsia="zh-CN"/>
              </w:rPr>
              <w:t>2021年1季度考核目标均已全部完成；</w:t>
            </w:r>
          </w:p>
          <w:p>
            <w:pPr>
              <w:spacing w:line="360" w:lineRule="auto"/>
              <w:ind w:firstLine="420" w:firstLineChars="200"/>
            </w:pPr>
            <w:r>
              <w:rPr>
                <w:rFonts w:hint="eastAsia"/>
                <w:color w:val="auto"/>
                <w:highlight w:val="none"/>
                <w:lang w:val="en-US" w:eastAsia="zh-CN"/>
              </w:rPr>
              <w:t>基本符合。</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环境因素/危险源的识别与评价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color w:val="auto"/>
                <w:spacing w:val="-6"/>
                <w:sz w:val="21"/>
                <w:szCs w:val="21"/>
              </w:rPr>
              <w:t>措施的策划</w:t>
            </w:r>
          </w:p>
        </w:tc>
        <w:tc>
          <w:tcPr>
            <w:tcW w:w="114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pacing w:val="-6"/>
                <w:kern w:val="2"/>
                <w:sz w:val="21"/>
                <w:szCs w:val="21"/>
                <w:lang w:val="en-US" w:eastAsia="zh-CN" w:bidi="ar-SA"/>
              </w:rPr>
            </w:pPr>
            <w:r>
              <w:rPr>
                <w:rFonts w:hint="eastAsia" w:asciiTheme="minorEastAsia" w:hAnsiTheme="minorEastAsia" w:eastAsiaTheme="minorEastAsia" w:cstheme="minorEastAsia"/>
                <w:color w:val="auto"/>
                <w:spacing w:val="-6"/>
                <w:kern w:val="2"/>
                <w:sz w:val="21"/>
                <w:szCs w:val="21"/>
                <w:lang w:val="en-US" w:eastAsia="zh-CN" w:bidi="ar-SA"/>
              </w:rPr>
              <w:t>EO:6.1.2</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Theme="minorEastAsia" w:hAnsiTheme="minorEastAsia" w:eastAsiaTheme="minorEastAsia" w:cstheme="minorEastAsia"/>
                <w:color w:val="auto"/>
                <w:spacing w:val="-6"/>
                <w:kern w:val="2"/>
                <w:sz w:val="21"/>
                <w:szCs w:val="21"/>
                <w:lang w:val="en-US" w:eastAsia="zh-CN" w:bidi="ar-SA"/>
              </w:rPr>
            </w:pPr>
            <w:r>
              <w:rPr>
                <w:rFonts w:hint="eastAsia" w:asciiTheme="minorEastAsia" w:hAnsiTheme="minorEastAsia" w:eastAsiaTheme="minorEastAsia" w:cstheme="minorEastAsia"/>
                <w:color w:val="auto"/>
                <w:spacing w:val="-6"/>
                <w:kern w:val="2"/>
                <w:sz w:val="21"/>
                <w:szCs w:val="21"/>
                <w:lang w:val="en-US" w:eastAsia="zh-CN" w:bidi="ar-SA"/>
              </w:rPr>
              <w:t>6.1.4</w:t>
            </w:r>
          </w:p>
        </w:tc>
        <w:tc>
          <w:tcPr>
            <w:tcW w:w="9843"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提供了环境因素和危险源识别评价与控制程序，有效文件，无变化。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2"/>
                <w:highlight w:val="none"/>
                <w:lang w:val="en-US" w:eastAsia="zh-CN"/>
              </w:rPr>
            </w:pPr>
            <w:r>
              <w:rPr>
                <w:rFonts w:hint="eastAsia"/>
                <w:color w:val="auto"/>
                <w:szCs w:val="22"/>
                <w:highlight w:val="none"/>
                <w:lang w:val="en-US" w:eastAsia="zh-CN"/>
              </w:rPr>
              <w:t>查“环境因素辨识和评价表”，对办公活动的生活垃圾的处置不当污染环境、办公场所吸烟污染环境、复印机打印机废墨盒处置污染环境、火灾发生后废弃物污染大气、水土等，以及激光切割、折弯工序、焊接工序、组装工序、总检、能源消耗、用电不当、生产垃圾等过程中粉尘的排放，噪声的排放，能源的消耗，废渣的排放、固废的废弃等进行了辨识和评价；在环境评价过程中考虑到环境影响、三种时态和三种状态，考虑了生命周期观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采取打分法评价；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查到“重要环境因素清单”，评价出</w:t>
            </w:r>
            <w:r>
              <w:rPr>
                <w:rFonts w:hint="default" w:ascii="宋体" w:hAnsi="宋体" w:cs="Arial"/>
                <w:color w:val="auto"/>
                <w:spacing w:val="-6"/>
                <w:sz w:val="21"/>
                <w:szCs w:val="21"/>
                <w:highlight w:val="none"/>
                <w:lang w:val="en-US" w:eastAsia="zh-CN"/>
              </w:rPr>
              <w:t>重大环境因素：固体废物排放</w:t>
            </w:r>
            <w:r>
              <w:rPr>
                <w:rFonts w:hint="eastAsia" w:ascii="宋体" w:hAnsi="宋体" w:cs="Arial"/>
                <w:color w:val="auto"/>
                <w:spacing w:val="-6"/>
                <w:sz w:val="21"/>
                <w:szCs w:val="21"/>
                <w:highlight w:val="none"/>
                <w:lang w:val="en-US" w:eastAsia="zh-CN"/>
              </w:rPr>
              <w:t>、</w:t>
            </w:r>
            <w:r>
              <w:rPr>
                <w:rFonts w:hint="default" w:ascii="宋体" w:hAnsi="宋体" w:cs="Arial"/>
                <w:color w:val="auto"/>
                <w:spacing w:val="-6"/>
                <w:sz w:val="21"/>
                <w:szCs w:val="21"/>
                <w:highlight w:val="none"/>
                <w:lang w:val="en-US" w:eastAsia="zh-CN"/>
              </w:rPr>
              <w:t>潜在火灾</w:t>
            </w:r>
            <w:r>
              <w:rPr>
                <w:rFonts w:hint="eastAsia" w:ascii="宋体" w:hAnsi="宋体" w:cs="Arial"/>
                <w:color w:val="auto"/>
                <w:spacing w:val="-6"/>
                <w:sz w:val="21"/>
                <w:szCs w:val="21"/>
                <w:highlight w:val="none"/>
                <w:lang w:val="en-US" w:eastAsia="zh-CN"/>
              </w:rPr>
              <w:t>、</w:t>
            </w:r>
            <w:r>
              <w:rPr>
                <w:rFonts w:hint="default" w:ascii="宋体" w:hAnsi="宋体" w:cs="Arial"/>
                <w:color w:val="auto"/>
                <w:spacing w:val="-6"/>
                <w:sz w:val="21"/>
                <w:szCs w:val="21"/>
                <w:highlight w:val="none"/>
                <w:lang w:val="en-US" w:eastAsia="zh-CN"/>
              </w:rPr>
              <w:t>噪声排放</w:t>
            </w:r>
            <w:r>
              <w:rPr>
                <w:rFonts w:hint="eastAsia" w:ascii="宋体" w:hAnsi="宋体" w:cs="Arial"/>
                <w:color w:val="auto"/>
                <w:spacing w:val="-6"/>
                <w:sz w:val="21"/>
                <w:szCs w:val="21"/>
                <w:highlight w:val="none"/>
                <w:lang w:val="en-US" w:eastAsia="zh-CN"/>
              </w:rPr>
              <w:t>、焊接烟尘</w:t>
            </w:r>
            <w:r>
              <w:rPr>
                <w:rFonts w:hint="default" w:ascii="宋体" w:hAnsi="宋体" w:cs="Arial"/>
                <w:color w:val="auto"/>
                <w:spacing w:val="-6"/>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查“危害辨识、风险评价、风险控制工作表”，识别了办公、生产、采购、销售、研发等过程中的危险源触电、火灾、机械伤害、听力损害、爆炸、高空坠落、中毒、职业病、人身伤害等；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对识别出的危险源采取D=LEC进行评价；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查到“不可接受风险清单”，经评价</w:t>
            </w:r>
            <w:r>
              <w:rPr>
                <w:rFonts w:hint="default" w:ascii="宋体" w:hAnsi="宋体" w:cs="Arial"/>
                <w:color w:val="auto"/>
                <w:spacing w:val="-6"/>
                <w:sz w:val="21"/>
                <w:szCs w:val="21"/>
                <w:highlight w:val="none"/>
                <w:lang w:val="en-US" w:eastAsia="zh-CN"/>
              </w:rPr>
              <w:t>不可接受风险：机械伤害</w:t>
            </w:r>
            <w:r>
              <w:rPr>
                <w:rFonts w:hint="eastAsia" w:ascii="宋体" w:hAnsi="宋体" w:cs="Arial"/>
                <w:color w:val="auto"/>
                <w:spacing w:val="-6"/>
                <w:sz w:val="21"/>
                <w:szCs w:val="21"/>
                <w:highlight w:val="none"/>
                <w:lang w:val="en-US" w:eastAsia="zh-CN"/>
              </w:rPr>
              <w:t>、噪声排放、</w:t>
            </w:r>
            <w:r>
              <w:rPr>
                <w:rFonts w:hint="default" w:ascii="宋体" w:hAnsi="宋体" w:cs="Arial"/>
                <w:color w:val="auto"/>
                <w:spacing w:val="-6"/>
                <w:sz w:val="21"/>
                <w:szCs w:val="21"/>
                <w:highlight w:val="none"/>
                <w:lang w:val="en-US" w:eastAsia="zh-CN"/>
              </w:rPr>
              <w:t>潜在火灾</w:t>
            </w:r>
            <w:r>
              <w:rPr>
                <w:rFonts w:hint="eastAsia" w:ascii="宋体" w:hAnsi="宋体" w:cs="Arial"/>
                <w:color w:val="auto"/>
                <w:spacing w:val="-6"/>
                <w:sz w:val="21"/>
                <w:szCs w:val="21"/>
                <w:highlight w:val="none"/>
                <w:lang w:val="en-US" w:eastAsia="zh-CN"/>
              </w:rPr>
              <w:t>、</w:t>
            </w:r>
            <w:r>
              <w:rPr>
                <w:rFonts w:hint="default" w:ascii="宋体" w:hAnsi="宋体" w:cs="Arial"/>
                <w:color w:val="auto"/>
                <w:spacing w:val="-6"/>
                <w:sz w:val="21"/>
                <w:szCs w:val="21"/>
                <w:highlight w:val="none"/>
                <w:lang w:val="en-US" w:eastAsia="zh-CN"/>
              </w:rPr>
              <w:t>触电伤害</w:t>
            </w:r>
            <w:r>
              <w:rPr>
                <w:rFonts w:hint="eastAsia"/>
                <w:color w:val="auto"/>
                <w:highlight w:val="none"/>
                <w:lang w:val="en-US" w:eastAsia="zh-CN"/>
              </w:rPr>
              <w:t>。</w:t>
            </w:r>
          </w:p>
          <w:p>
            <w:pPr>
              <w:rPr>
                <w:rFonts w:hint="eastAsia" w:ascii="Times New Roman" w:hAnsi="Times New Roman" w:eastAsia="宋体" w:cs="Times New Roman"/>
                <w:kern w:val="2"/>
                <w:sz w:val="21"/>
                <w:lang w:val="en-US" w:eastAsia="zh-CN" w:bidi="ar-SA"/>
              </w:rPr>
            </w:pPr>
            <w:r>
              <w:rPr>
                <w:rFonts w:hint="eastAsia"/>
                <w:color w:val="auto"/>
                <w:highlight w:val="none"/>
                <w:lang w:val="en-US" w:eastAsia="zh-CN"/>
              </w:rPr>
              <w:t>制订了“目标与管理方案及实施情况一览表”，明确了控制措施、时间要求、责任部门、责任人等。</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spacing w:val="-6"/>
                <w:sz w:val="21"/>
                <w:szCs w:val="21"/>
                <w:lang w:val="en-US" w:eastAsia="zh-CN"/>
              </w:rPr>
              <w:t>基础设施</w:t>
            </w:r>
          </w:p>
        </w:tc>
        <w:tc>
          <w:tcPr>
            <w:tcW w:w="114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Q:7.1.3</w:t>
            </w:r>
          </w:p>
        </w:tc>
        <w:tc>
          <w:tcPr>
            <w:tcW w:w="9843" w:type="dxa"/>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策划了“设备控制程序”，有效文件，无变化；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Arial"/>
                <w:color w:val="auto"/>
                <w:spacing w:val="-6"/>
                <w:sz w:val="21"/>
                <w:szCs w:val="21"/>
                <w:highlight w:val="none"/>
                <w:lang w:val="de-DE"/>
              </w:rPr>
            </w:pPr>
            <w:r>
              <w:rPr>
                <w:rFonts w:hint="eastAsia" w:asciiTheme="minorEastAsia" w:hAnsiTheme="minorEastAsia" w:eastAsiaTheme="minorEastAsia" w:cstheme="minorEastAsia"/>
                <w:szCs w:val="22"/>
                <w:highlight w:val="none"/>
                <w:lang w:val="en-US" w:eastAsia="zh-CN"/>
              </w:rPr>
              <w:t>查见“生产设备台账”，</w:t>
            </w:r>
            <w:r>
              <w:rPr>
                <w:rFonts w:hint="eastAsia" w:ascii="宋体" w:hAnsi="宋体" w:eastAsia="宋体" w:cs="Arial"/>
                <w:color w:val="auto"/>
                <w:spacing w:val="-6"/>
                <w:sz w:val="21"/>
                <w:szCs w:val="21"/>
                <w:highlight w:val="none"/>
                <w:lang w:val="de-DE"/>
              </w:rPr>
              <w:t>主要设备有光纤激光切割机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电液伺服折弯机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螺杆式空气压缩机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气动切管机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高速自动弯管机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数控弯管机</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机器人组焊平台等；</w:t>
            </w:r>
          </w:p>
          <w:p>
            <w:pPr>
              <w:keepNext w:val="0"/>
              <w:keepLines w:val="0"/>
              <w:pageBreakBefore w:val="0"/>
              <w:widowControl w:val="0"/>
              <w:kinsoku/>
              <w:wordWrap/>
              <w:overflowPunct/>
              <w:topLinePunct w:val="0"/>
              <w:autoSpaceDE/>
              <w:autoSpaceDN/>
              <w:bidi w:val="0"/>
              <w:adjustRightInd/>
              <w:snapToGrid/>
              <w:spacing w:line="360" w:lineRule="auto"/>
              <w:ind w:firstLine="396" w:firstLineChars="200"/>
              <w:textAlignment w:val="auto"/>
              <w:rPr>
                <w:rFonts w:hint="eastAsia" w:ascii="宋体" w:hAnsi="宋体" w:eastAsia="宋体" w:cs="Arial"/>
                <w:color w:val="auto"/>
                <w:spacing w:val="-6"/>
                <w:sz w:val="21"/>
                <w:szCs w:val="21"/>
                <w:highlight w:val="none"/>
                <w:lang w:val="de-DE"/>
              </w:rPr>
            </w:pPr>
            <w:r>
              <w:rPr>
                <w:rFonts w:hint="eastAsia" w:ascii="宋体" w:hAnsi="宋体" w:eastAsia="宋体" w:cs="Arial"/>
                <w:color w:val="auto"/>
                <w:spacing w:val="-6"/>
                <w:sz w:val="21"/>
                <w:szCs w:val="21"/>
                <w:highlight w:val="none"/>
                <w:lang w:val="de-DE"/>
              </w:rPr>
              <w:t>主要检测设备有</w:t>
            </w:r>
            <w:r>
              <w:rPr>
                <w:rFonts w:hint="eastAsia" w:ascii="宋体" w:hAnsi="宋体" w:eastAsia="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en-US" w:eastAsia="zh-CN"/>
              </w:rPr>
              <w:t>水平尺</w:t>
            </w:r>
            <w:r>
              <w:rPr>
                <w:rFonts w:hint="eastAsia" w:ascii="宋体" w:hAnsi="宋体" w:eastAsia="宋体" w:cs="Arial"/>
                <w:color w:val="auto"/>
                <w:spacing w:val="-6"/>
                <w:sz w:val="21"/>
                <w:szCs w:val="21"/>
                <w:highlight w:val="none"/>
                <w:lang w:val="de-DE"/>
              </w:rPr>
              <w:t>、钢尺、卷尺、</w:t>
            </w:r>
            <w:r>
              <w:rPr>
                <w:rFonts w:hint="eastAsia" w:ascii="宋体" w:hAnsi="宋体" w:eastAsia="宋体" w:cs="Arial"/>
                <w:color w:val="auto"/>
                <w:spacing w:val="-6"/>
                <w:sz w:val="21"/>
                <w:szCs w:val="21"/>
                <w:highlight w:val="none"/>
                <w:lang w:val="en-US" w:eastAsia="zh-CN"/>
              </w:rPr>
              <w:t>激光测距</w:t>
            </w:r>
            <w:r>
              <w:rPr>
                <w:rFonts w:hint="eastAsia" w:ascii="宋体" w:hAnsi="宋体" w:eastAsia="宋体" w:cs="Arial"/>
                <w:color w:val="auto"/>
                <w:spacing w:val="-6"/>
                <w:sz w:val="21"/>
                <w:szCs w:val="21"/>
                <w:highlight w:val="none"/>
                <w:lang w:val="de-DE"/>
              </w:rPr>
              <w:t>仪、游标卡尺</w:t>
            </w:r>
            <w:r>
              <w:rPr>
                <w:rFonts w:hint="eastAsia" w:ascii="宋体" w:hAnsi="宋体" w:cs="Arial"/>
                <w:color w:val="auto"/>
                <w:spacing w:val="-6"/>
                <w:sz w:val="21"/>
                <w:szCs w:val="21"/>
                <w:highlight w:val="none"/>
                <w:lang w:val="de-DE" w:eastAsia="zh-CN"/>
              </w:rPr>
              <w:t>（</w:t>
            </w:r>
            <w:r>
              <w:rPr>
                <w:rFonts w:hint="eastAsia" w:ascii="宋体" w:hAnsi="宋体" w:cs="Arial"/>
                <w:color w:val="auto"/>
                <w:spacing w:val="-6"/>
                <w:sz w:val="21"/>
                <w:szCs w:val="21"/>
                <w:highlight w:val="none"/>
                <w:lang w:val="en-US" w:eastAsia="zh-CN"/>
              </w:rPr>
              <w:t>数显</w:t>
            </w:r>
            <w:r>
              <w:rPr>
                <w:rFonts w:hint="eastAsia" w:ascii="宋体" w:hAnsi="宋体" w:cs="Arial"/>
                <w:color w:val="auto"/>
                <w:spacing w:val="-6"/>
                <w:sz w:val="21"/>
                <w:szCs w:val="21"/>
                <w:highlight w:val="none"/>
                <w:lang w:val="de-DE" w:eastAsia="zh-CN"/>
              </w:rPr>
              <w:t>）</w:t>
            </w:r>
            <w:r>
              <w:rPr>
                <w:rFonts w:hint="eastAsia" w:ascii="宋体" w:hAnsi="宋体" w:eastAsia="宋体" w:cs="Arial"/>
                <w:color w:val="auto"/>
                <w:spacing w:val="-6"/>
                <w:sz w:val="21"/>
                <w:szCs w:val="21"/>
                <w:highlight w:val="none"/>
                <w:lang w:val="de-DE"/>
              </w:rPr>
              <w:t>等；</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查见“2021年度设备维修计划”，明确了每季度的设备名称、检修保养项目和责任人；</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查见“设备保养记录表”，2021.3.28，按照计划对设备进行了维护保养；责任人员签字；</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提供“设备日常维护保养记录”，抽见：</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电液伺服折弯机-2020.12、</w:t>
            </w:r>
            <w:r>
              <w:rPr>
                <w:rFonts w:hint="eastAsia" w:ascii="宋体" w:hAnsi="宋体" w:eastAsia="宋体" w:cs="Arial"/>
                <w:color w:val="auto"/>
                <w:spacing w:val="-6"/>
                <w:sz w:val="21"/>
                <w:szCs w:val="21"/>
                <w:highlight w:val="none"/>
                <w:lang w:val="de-DE"/>
              </w:rPr>
              <w:t>光纤激光切割机</w:t>
            </w:r>
            <w:r>
              <w:rPr>
                <w:rFonts w:hint="eastAsia" w:ascii="宋体" w:hAnsi="宋体" w:cs="Arial"/>
                <w:color w:val="auto"/>
                <w:spacing w:val="-6"/>
                <w:sz w:val="21"/>
                <w:szCs w:val="21"/>
                <w:highlight w:val="none"/>
                <w:lang w:val="en-US" w:eastAsia="zh-CN"/>
              </w:rPr>
              <w:t>-2021.5等，每日记录日常保养情况、每周记录周保养结果，每月一次月保，未发现异常情况的记录</w:t>
            </w:r>
            <w:r>
              <w:rPr>
                <w:rFonts w:hint="eastAsia" w:asciiTheme="minorEastAsia" w:hAnsiTheme="minorEastAsia" w:eastAsiaTheme="minorEastAsia" w:cstheme="minorEastAsia"/>
                <w:szCs w:val="2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查见空压机安全附件证书：</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安全阀校验报告——校验结果合格；2021.3.18；宜春市特种设备监督检验中心出具；</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szCs w:val="22"/>
                <w:highlight w:val="yellow"/>
                <w:lang w:val="en-US" w:eastAsia="zh-CN"/>
              </w:rPr>
            </w:pPr>
            <w:r>
              <w:rPr>
                <w:rFonts w:hint="eastAsia" w:asciiTheme="minorEastAsia" w:hAnsiTheme="minorEastAsia" w:eastAsiaTheme="minorEastAsia" w:cstheme="minorEastAsia"/>
                <w:szCs w:val="22"/>
                <w:highlight w:val="none"/>
                <w:lang w:val="en-US" w:eastAsia="zh-CN"/>
              </w:rPr>
              <w:t>压力表校准证书——1.6MPa，2020.6.24；校准结论符合技术要求，</w:t>
            </w:r>
            <w:r>
              <w:rPr>
                <w:rFonts w:hint="eastAsia"/>
                <w:color w:val="auto"/>
                <w:highlight w:val="none"/>
                <w:lang w:val="en-US" w:eastAsia="zh-CN"/>
              </w:rPr>
              <w:t>深圳华科计量检测技术有限公司出具。</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运行策划和控制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pacing w:val="-6"/>
                <w:kern w:val="2"/>
                <w:sz w:val="21"/>
                <w:szCs w:val="21"/>
                <w:lang w:val="en-US" w:eastAsia="zh-CN" w:bidi="ar-SA"/>
              </w:rPr>
            </w:pPr>
            <w:r>
              <w:rPr>
                <w:rFonts w:hint="eastAsia" w:ascii="宋体" w:hAnsi="宋体" w:eastAsia="宋体" w:cs="Arial"/>
                <w:spacing w:val="-6"/>
                <w:sz w:val="21"/>
                <w:szCs w:val="21"/>
                <w:lang w:val="en-US" w:eastAsia="zh-CN"/>
              </w:rPr>
              <w:t>运行环境</w:t>
            </w:r>
          </w:p>
        </w:tc>
        <w:tc>
          <w:tcPr>
            <w:tcW w:w="1145" w:type="dxa"/>
            <w:vAlign w:val="top"/>
          </w:tcPr>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宋体" w:hAnsi="宋体" w:eastAsia="宋体" w:cs="Arial"/>
                <w:spacing w:val="-6"/>
                <w:sz w:val="21"/>
                <w:szCs w:val="21"/>
                <w:lang w:val="en-US" w:eastAsia="zh-CN"/>
              </w:rPr>
            </w:pPr>
            <w:r>
              <w:rPr>
                <w:rFonts w:hint="eastAsia" w:asciiTheme="minorEastAsia" w:hAnsiTheme="minorEastAsia" w:eastAsiaTheme="minorEastAsia" w:cstheme="minorEastAsia"/>
                <w:spacing w:val="-6"/>
                <w:kern w:val="2"/>
                <w:sz w:val="21"/>
                <w:szCs w:val="21"/>
                <w:lang w:val="en-US" w:eastAsia="zh-CN" w:bidi="ar-SA"/>
              </w:rPr>
              <w:t>Q:</w:t>
            </w:r>
            <w:r>
              <w:rPr>
                <w:rFonts w:hint="eastAsia" w:ascii="宋体" w:hAnsi="宋体" w:eastAsia="宋体" w:cs="Arial"/>
                <w:spacing w:val="-6"/>
                <w:sz w:val="21"/>
                <w:szCs w:val="21"/>
                <w:lang w:val="en-US" w:eastAsia="zh-CN"/>
              </w:rPr>
              <w:t>7.1.4</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default"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EO:</w:t>
            </w:r>
            <w:r>
              <w:rPr>
                <w:rFonts w:hint="eastAsia" w:asciiTheme="minorEastAsia" w:hAnsiTheme="minorEastAsia" w:eastAsiaTheme="minorEastAsia" w:cstheme="minorEastAsia"/>
                <w:spacing w:val="-6"/>
                <w:sz w:val="21"/>
                <w:szCs w:val="21"/>
              </w:rPr>
              <w:t>8.1</w:t>
            </w:r>
          </w:p>
        </w:tc>
        <w:tc>
          <w:tcPr>
            <w:tcW w:w="9843" w:type="dxa"/>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公司策划了环境安全管理</w:t>
            </w:r>
            <w:r>
              <w:rPr>
                <w:rFonts w:hint="eastAsia" w:cs="Times New Roman"/>
                <w:color w:val="auto"/>
                <w:szCs w:val="22"/>
                <w:lang w:val="en-US" w:eastAsia="zh-CN"/>
              </w:rPr>
              <w:t>相关程序文件和管理</w:t>
            </w:r>
            <w:r>
              <w:rPr>
                <w:rFonts w:hint="eastAsia" w:ascii="Times New Roman" w:hAnsi="Times New Roman" w:eastAsia="宋体" w:cs="Times New Roman"/>
                <w:color w:val="auto"/>
                <w:szCs w:val="22"/>
                <w:lang w:val="en-US" w:eastAsia="zh-CN"/>
              </w:rPr>
              <w:t>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运行控制程序、废弃物控制程序</w:t>
            </w:r>
            <w:r>
              <w:rPr>
                <w:rFonts w:hint="eastAsia" w:cs="Times New Roman"/>
                <w:color w:val="auto"/>
                <w:szCs w:val="22"/>
                <w:lang w:val="en-US" w:eastAsia="zh-CN"/>
              </w:rPr>
              <w:t>、</w:t>
            </w:r>
            <w:r>
              <w:rPr>
                <w:rFonts w:hint="eastAsia" w:ascii="Times New Roman" w:hAnsi="Times New Roman" w:eastAsia="宋体" w:cs="Times New Roman"/>
                <w:color w:val="auto"/>
                <w:szCs w:val="22"/>
                <w:lang w:val="en-US" w:eastAsia="zh-CN"/>
              </w:rPr>
              <w:t>噪声控制程序</w:t>
            </w:r>
            <w:r>
              <w:rPr>
                <w:rFonts w:hint="eastAsia" w:cs="Times New Roman"/>
                <w:color w:val="auto"/>
                <w:szCs w:val="22"/>
                <w:lang w:val="en-US" w:eastAsia="zh-CN"/>
              </w:rPr>
              <w:t>、</w:t>
            </w:r>
            <w:r>
              <w:rPr>
                <w:rFonts w:hint="eastAsia" w:ascii="Times New Roman" w:hAnsi="Times New Roman" w:eastAsia="宋体" w:cs="Times New Roman"/>
                <w:color w:val="auto"/>
                <w:szCs w:val="22"/>
                <w:lang w:val="en-US" w:eastAsia="zh-CN"/>
              </w:rPr>
              <w:t>消防控制程序</w:t>
            </w:r>
            <w:r>
              <w:rPr>
                <w:rFonts w:hint="eastAsia" w:cs="Times New Roman"/>
                <w:color w:val="auto"/>
                <w:szCs w:val="22"/>
                <w:lang w:val="en-US" w:eastAsia="zh-CN"/>
              </w:rPr>
              <w:t>、</w:t>
            </w:r>
            <w:r>
              <w:rPr>
                <w:rFonts w:hint="eastAsia" w:ascii="Times New Roman" w:hAnsi="Times New Roman" w:eastAsia="宋体" w:cs="Times New Roman"/>
                <w:color w:val="auto"/>
                <w:szCs w:val="22"/>
                <w:lang w:val="en-US" w:eastAsia="zh-CN"/>
              </w:rPr>
              <w:t>资源能源控制程序</w:t>
            </w:r>
            <w:r>
              <w:rPr>
                <w:rFonts w:hint="eastAsia" w:cs="Times New Roman"/>
                <w:color w:val="auto"/>
                <w:szCs w:val="22"/>
                <w:lang w:val="en-US" w:eastAsia="zh-CN"/>
              </w:rPr>
              <w:t>、</w:t>
            </w:r>
            <w:r>
              <w:rPr>
                <w:rFonts w:hint="eastAsia" w:ascii="Times New Roman" w:hAnsi="Times New Roman" w:eastAsia="宋体" w:cs="Times New Roman"/>
                <w:color w:val="auto"/>
                <w:szCs w:val="22"/>
                <w:lang w:val="en-US" w:eastAsia="zh-CN"/>
              </w:rPr>
              <w:t>应急准备和响应控制程序</w:t>
            </w:r>
            <w:r>
              <w:rPr>
                <w:rFonts w:hint="eastAsia" w:cs="Times New Roman"/>
                <w:color w:val="auto"/>
                <w:szCs w:val="22"/>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color w:val="auto"/>
                <w:lang w:val="en-US" w:eastAsia="zh-CN"/>
              </w:rPr>
              <w:t>现场观察：</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highlight w:val="none"/>
                <w:lang w:val="en-US" w:eastAsia="zh-CN"/>
              </w:rPr>
            </w:pPr>
            <w:r>
              <w:rPr>
                <w:rFonts w:hint="eastAsia"/>
                <w:highlight w:val="none"/>
                <w:lang w:val="en-US" w:eastAsia="zh-CN"/>
              </w:rPr>
              <w:t>钢架结构厂房，挑高12米，各区域间通道宽敞，自然通风和采光；</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highlight w:val="none"/>
                <w:lang w:val="en-US" w:eastAsia="zh-CN"/>
              </w:rPr>
            </w:pPr>
            <w:r>
              <w:rPr>
                <w:rFonts w:hint="eastAsia"/>
                <w:highlight w:val="none"/>
                <w:lang w:val="en-US" w:eastAsia="zh-CN"/>
              </w:rPr>
              <w:t>根据业务流程进行布局，依次为样品展厅、原材料库、激光切割机、折弯机、焊接工作台、装配区、成品车存放区</w:t>
            </w:r>
            <w:r>
              <w:rPr>
                <w:rFonts w:hint="eastAsia" w:ascii="Times New Roman" w:hAnsi="Times New Roman" w:cs="Times New Roman"/>
                <w:szCs w:val="22"/>
                <w:highlight w:val="none"/>
                <w:lang w:val="en-US" w:eastAsia="zh-CN"/>
              </w:rPr>
              <w:t>；车间内地面比较干净、整洁，有安全通道和灭火器；</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highlight w:val="none"/>
                <w:lang w:val="en-US" w:eastAsia="zh-CN"/>
              </w:rPr>
            </w:pPr>
            <w:r>
              <w:rPr>
                <w:rFonts w:hint="eastAsia"/>
                <w:highlight w:val="none"/>
                <w:lang w:val="en-US" w:eastAsia="zh-CN"/>
              </w:rPr>
              <w:t>设备上查见有操作规程；作业人员根据图纸要求进行生产；</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废水控制：公司生产不产生废水</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生活污水排入市政污水管网</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废气：</w:t>
            </w:r>
            <w:r>
              <w:rPr>
                <w:rFonts w:hint="eastAsia" w:asciiTheme="minorEastAsia" w:hAnsiTheme="minorEastAsia" w:eastAsiaTheme="minorEastAsia" w:cstheme="minorEastAsia"/>
                <w:lang w:val="en-US" w:eastAsia="zh-CN"/>
              </w:rPr>
              <w:t>主要是激光切割时产生的少许金属废气，通过设备自带的抽排烟系统，有组织的通过12米高排气管排放</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二氧化碳保护焊的电焊烟尘无组织排放</w:t>
            </w:r>
            <w:r>
              <w:rPr>
                <w:rFonts w:hint="eastAsia" w:asciiTheme="minorEastAsia" w:hAnsiTheme="minorEastAsia" w:eastAsiaTheme="minorEastAsia" w:cstheme="minorEastAsia"/>
                <w:lang w:eastAsia="zh-CN"/>
              </w:rPr>
              <w:t>；</w:t>
            </w:r>
            <w:bookmarkStart w:id="0" w:name="_GoBack"/>
            <w:bookmarkEnd w:id="0"/>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噪声控制：生产设备在安装时就采取了减震处理，设备产生的噪音符合国标标准要求</w:t>
            </w:r>
            <w:r>
              <w:rPr>
                <w:rFonts w:hint="eastAsia" w:asciiTheme="minorEastAsia" w:hAnsiTheme="minorEastAsia" w:eastAsiaTheme="minorEastAsia" w:cstheme="minorEastAsia"/>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固废控制：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办公</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垃圾交环卫部门处理，硒鼓墨盒交厂家回收</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生产固废，</w:t>
            </w:r>
            <w:r>
              <w:rPr>
                <w:rFonts w:hint="eastAsia" w:asciiTheme="minorEastAsia" w:hAnsiTheme="minorEastAsia" w:eastAsiaTheme="minorEastAsia" w:cstheme="minorEastAsia"/>
                <w:lang w:val="en-US" w:eastAsia="zh-CN"/>
              </w:rPr>
              <w:t>主要是切割下来的不锈钢边角料，</w:t>
            </w:r>
            <w:r>
              <w:rPr>
                <w:rFonts w:hint="eastAsia" w:asciiTheme="minorEastAsia" w:hAnsiTheme="minorEastAsia" w:eastAsiaTheme="minorEastAsia" w:cstheme="minorEastAsia"/>
              </w:rPr>
              <w:t>收集后</w:t>
            </w:r>
            <w:r>
              <w:rPr>
                <w:rFonts w:hint="eastAsia" w:asciiTheme="minorEastAsia" w:hAnsiTheme="minorEastAsia" w:eastAsiaTheme="minorEastAsia" w:cstheme="minorEastAsia"/>
                <w:lang w:val="en-US" w:eastAsia="zh-CN"/>
              </w:rPr>
              <w:t>出售；</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废机油以旧换新，交由有供应商带回处理；</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电源通过开关盒接到设备上，配电箱一机一闸，有保护开关，电线绝缘良好，设备接零完好；</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能资源管理：公司规定人走灯灭，人走关水等节能节水措施，并互相监督</w:t>
            </w:r>
            <w:r>
              <w:rPr>
                <w:rFonts w:hint="eastAsia" w:asciiTheme="minorEastAsia" w:hAnsiTheme="minorEastAsia" w:eastAsiaTheme="minorEastAsia" w:cstheme="minorEastAsia"/>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火灾事故预防：公司配备有灭火器等消防设施，有应急预案，相关人员经过培训。</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highlight w:val="none"/>
                <w:lang w:val="en-US" w:eastAsia="zh-CN"/>
              </w:rPr>
            </w:pPr>
            <w:r>
              <w:rPr>
                <w:rFonts w:hint="eastAsia" w:asciiTheme="minorEastAsia" w:hAnsiTheme="minorEastAsia" w:eastAsiaTheme="minorEastAsia" w:cstheme="minorEastAsia"/>
              </w:rPr>
              <w:t>运行控制基本满足要求。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kern w:val="2"/>
                <w:sz w:val="21"/>
                <w:lang w:val="en-US" w:eastAsia="zh-CN" w:bidi="ar-SA"/>
              </w:rPr>
            </w:pPr>
            <w:r>
              <w:rPr>
                <w:rFonts w:hint="eastAsia"/>
              </w:rPr>
              <w:t>生产和服务提供的控制</w:t>
            </w:r>
          </w:p>
        </w:tc>
        <w:tc>
          <w:tcPr>
            <w:tcW w:w="1145" w:type="dxa"/>
            <w:vAlign w:val="top"/>
          </w:tcPr>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Theme="minorEastAsia" w:hAnsiTheme="minorEastAsia" w:eastAsiaTheme="minorEastAsia" w:cstheme="minorEastAsia"/>
                <w:spacing w:val="-6"/>
                <w:kern w:val="2"/>
                <w:sz w:val="21"/>
                <w:szCs w:val="21"/>
                <w:lang w:val="en-US" w:eastAsia="zh-CN" w:bidi="ar-SA"/>
              </w:rPr>
            </w:pPr>
            <w:r>
              <w:rPr>
                <w:rFonts w:hint="eastAsia" w:asciiTheme="minorEastAsia" w:hAnsiTheme="minorEastAsia" w:eastAsiaTheme="minorEastAsia" w:cstheme="minorEastAsia"/>
                <w:spacing w:val="-6"/>
                <w:kern w:val="2"/>
                <w:sz w:val="21"/>
                <w:szCs w:val="21"/>
                <w:lang w:val="en-US" w:eastAsia="zh-CN" w:bidi="ar-SA"/>
              </w:rPr>
              <w:t>Q:</w:t>
            </w:r>
            <w:r>
              <w:rPr>
                <w:rFonts w:hint="eastAsia" w:asciiTheme="minorEastAsia" w:hAnsiTheme="minorEastAsia" w:eastAsiaTheme="minorEastAsia" w:cstheme="minorEastAsia"/>
                <w:spacing w:val="-6"/>
                <w:sz w:val="21"/>
                <w:szCs w:val="21"/>
              </w:rPr>
              <w:t>8.5.1</w:t>
            </w:r>
          </w:p>
        </w:tc>
        <w:tc>
          <w:tcPr>
            <w:tcW w:w="9843" w:type="dxa"/>
          </w:tcPr>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现场观察：</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设备运转情况良好，无油污，有少量灰尘；</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配置了相应的监测设备，主要是生产线自动控制系统，显示运行参数；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highlight w:val="none"/>
                <w:lang w:val="en-US" w:eastAsia="zh-CN"/>
              </w:rPr>
            </w:pPr>
            <w:r>
              <w:rPr>
                <w:rFonts w:hint="eastAsia"/>
                <w:highlight w:val="none"/>
                <w:lang w:val="en-US" w:eastAsia="zh-CN"/>
              </w:rPr>
              <w:t>正在作业的订单号为20210618－2；三名工人正在根据图纸要求，将切割好的不锈钢板折弯，作业人员穿工作服，戴手套，在控制平台输入参数后，运行设备；其他工序未进行生产；</w:t>
            </w:r>
          </w:p>
          <w:p>
            <w:pPr>
              <w:pStyle w:val="3"/>
              <w:rPr>
                <w:rFonts w:hint="eastAsia"/>
                <w:lang w:val="en-US" w:eastAsia="zh-CN"/>
              </w:rPr>
            </w:pPr>
            <w:r>
              <w:rPr>
                <w:rFonts w:hint="eastAsia"/>
                <w:lang w:val="en-US" w:eastAsia="zh-CN"/>
              </w:rPr>
              <w:t>生产工艺流程如下：</w:t>
            </w:r>
          </w:p>
          <w:p>
            <w:pPr>
              <w:pStyle w:val="3"/>
              <w:rPr>
                <w:rFonts w:hint="eastAsia"/>
                <w:lang w:val="en-US" w:eastAsia="zh-CN"/>
              </w:rPr>
            </w:pPr>
            <w:r>
              <w:rPr>
                <w:rFonts w:hint="eastAsia"/>
                <w:lang w:val="en-US" w:eastAsia="zh-CN"/>
              </w:rPr>
              <w:t>原材料采购—进货检验—激光切割—折弯工序—焊接工序—组装工序—总检—整车出厂</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lang w:val="en-US" w:eastAsia="zh-CN"/>
              </w:rPr>
              <w:t>关键过程：焊接过程；</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查生产过程记录，抽见：</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生产计划单——2020年5月5日</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1．管材下料工序（生产及首检、巡检）：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订单号20210423-1，殡仪车规格：国六福田风景G7白色使用设备名称：气动切管机及编号：180456；进行下料，原材料规格材质描述：304不锈钢35*35*6000*1.2，下料框架尺寸：605mm，偏差小于0.2mm，检验(自、首、巡)：尺寸和外观，操作人：尚雪华，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2．板材下料工序（生产及首检、巡检）：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订单号20210423-1，殡仪车规格：国六福田风景G7白色使用设备名称：激光切割机及编号：180731972253；进行下料，原材料规格材质描述：304不锈钢板（钛金色）1220*2440*0.92，下料棺底板尺寸：805*2025*0.92，偏差小于0.1mm，检验(自、首、巡)：尺寸和外观，操作人：尚雪华，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3．管材弯管工序（生产及首检、巡检）：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订单号20210423-1，殡仪车规格：国六福田风景G7白色，使用设名称：高速自动弯管机，编号DW38NC；进行弯管使用模具名称：方形磨：编号：FXM，进行弯管，尺寸偏差小于0.2mm，检验(自、首、巡)：尺寸和外观，操作人：陈腊生，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4．板材折弯工序（生产及首检、巡检）：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订单号20210423-1，殡仪车规格：国六福田风景G7白色，使用设备名称：数控折弯机，编号018125；进行折弯，使用模具名称：BXGV12：编号：V12，进行折弯，尺寸偏差小于0.2mm，检验(自、首、巡)：尺寸和外观，操作人：李龙华，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5．焊接工序（生产及首检、巡检）：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订单号20210423-1，殡仪车规格：国六福田风景G7白色，使用设备名称：超激光焊机，编号HR-03S；进行焊接，使用模具名称：柔性平台：编号：RXPT，进行焊接，尺寸偏差小于0.2mm，检验(自、首、巡)：尺寸和外观，操作人：杜丹华，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6．装配工序（生产及首检、巡检）：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生产订单号20210423-1，殡仪车规格：国六福田风景G7白色，使用设备名称：超激光焊机，编号HR-03S；进行焊接拼装，尺寸偏差小于5mm，检验(自、首、巡)：尺寸和外观，操作人：杜丹华邹福平，检验员黄淑兰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另查见生产计划单——</w:t>
            </w:r>
            <w:r>
              <w:rPr>
                <w:rFonts w:hint="default" w:asciiTheme="minorEastAsia" w:hAnsiTheme="minorEastAsia" w:eastAsiaTheme="minorEastAsia" w:cstheme="minorEastAsia"/>
                <w:lang w:val="en-US" w:eastAsia="zh-CN"/>
              </w:rPr>
              <w:t>2021年3月9日</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1．管材下料工序（生产及首检、巡检）：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生产订单号20210322-1，殡仪车规格：国六福田风景G五黑色使用设备名称：气动切管机及编号：180456；进行下料，原材料规格材质描述：304不锈钢35*35*6000*1.2，下料框架尺寸：605mm，偏差小于0.2mm，检验(自、首、巡)：尺寸和外观，操作人：尚雪华</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2．板材下料工序（生产及首检、巡检）：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生产订单号20210322-1，殡仪车规格：国六福田风景G五黑色使用设备名称：激光切割机及编号：180731972253；进行下料，原材料规格材质描述：304不锈钢板（钛金色）1220*2440*0.92，下料棺底板尺寸：805*2025*0.92，偏差小于0.1mm，检验(自、首、巡)：尺寸和外观，操作人：尚雪华</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3．管材弯管工序（生产及首检、巡检）：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生产订单号20210322-1，殡仪车规格：国六福田风景G五黑色，使用设名称：高速自动弯管机，编号DW38NC；进行弯管使用模具名称：方形磨：编号：FXM，进行弯管，尺寸偏差小于0.2mm，检验(自、首、巡)：尺寸和外观，操作人：陈腊生</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4．板材折弯工序（生产及首检、巡检）：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生产订单号20210322-1，殡仪车规格：国六福田风景G五黑色，使用设备名称：数控折弯机，编号018125；进行折弯，使用模具名称：BXGV12：编号：V12，进行折弯，尺寸偏差小于0.2mm，检验(自、首、巡)：尺寸和外观，操作人：李龙华</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5．焊接工序（生产及首检、巡检）：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生产订单号20210322-1，殡仪车规格：国六福田风景G五黑色，使用设备名称：超激光焊机，编号HR-03S；进行焊接，使用模具名称：柔性平台：编号：RXPT，进行焊接，尺寸偏差小于0.2mm，检验(自、首、巡)：尺寸和外观，操作人：杜丹华</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检验员黄淑兰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6．装配工序（生产及首检、巡检）：</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生产订单号20210322-1，殡仪车规格：国六福田风景G五黑色，使用设备名称：超激光焊机，编号HR-03S；进行焊接拼装，尺寸偏差小于5mm，检验(自、首、巡)：尺寸和外观，操作人：杜丹华邹福平</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检验员黄淑兰</w:t>
            </w:r>
            <w:r>
              <w:rPr>
                <w:rFonts w:hint="eastAsia" w:asciiTheme="minorEastAsia" w:hAnsiTheme="minorEastAsia" w:eastAsiaTheme="minorEastAsia" w:cstheme="minorEastAsia"/>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查见“特殊过程确认单”：</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特殊过程：焊接工序</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确认日期：2021.1.10</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确认方法：根据标准8.5.1生产和服务提供过程的确认，本部门对工艺过程进行了识别，认为该过程为特殊过程。</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参与识别和确认的人员：余淮清、姜建平、张瑶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对</w:t>
            </w:r>
            <w:r>
              <w:rPr>
                <w:rFonts w:hint="default" w:asciiTheme="minorEastAsia" w:hAnsiTheme="minorEastAsia" w:eastAsiaTheme="minorEastAsia" w:cstheme="minorEastAsia"/>
                <w:lang w:val="en-US" w:eastAsia="zh-CN"/>
              </w:rPr>
              <w:t>操作人员</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设备</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工艺标准《焊接作业工艺指导书》</w:t>
            </w:r>
            <w:r>
              <w:rPr>
                <w:rFonts w:hint="eastAsia" w:asciiTheme="minorEastAsia" w:hAnsiTheme="minorEastAsia" w:eastAsiaTheme="minorEastAsia" w:cstheme="minorEastAsia"/>
                <w:lang w:val="en-US" w:eastAsia="zh-CN"/>
              </w:rPr>
              <w:t>等进行确认；</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确认情况：</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1．本公司根据该过程，针对现场操作人员编制了《焊接作业工艺指导书》；</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2．针对设备操作工编制了《焊机操作规程》；</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3．该员工在同行业公司该岗位工作了六年，有丰富的工作经历，工作认真负责。</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4．生产过程中严格按照上述工艺标准和作业指导书的要求执行；</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5．可以提供该过程的记录及该过程的检验记录。</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6．该过程的记录及该过程的检验记录均符合本公司上述文件的要求。</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确认结论：上述确认情况属实，可以按经确认的要求操作。</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生产过程控制有效。</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产品标识和可追朔性</w:t>
            </w:r>
          </w:p>
          <w:p>
            <w:pPr>
              <w:pStyle w:val="2"/>
              <w:rPr>
                <w:rFonts w:hint="eastAsia"/>
                <w:lang w:val="en-US" w:eastAsia="zh-CN"/>
              </w:rPr>
            </w:pPr>
            <w:r>
              <w:rPr>
                <w:rFonts w:hint="eastAsia" w:asciiTheme="minorEastAsia" w:hAnsiTheme="minorEastAsia" w:eastAsiaTheme="minorEastAsia" w:cstheme="minorEastAsia"/>
                <w:color w:val="auto"/>
                <w:spacing w:val="-6"/>
                <w:sz w:val="21"/>
                <w:szCs w:val="21"/>
              </w:rPr>
              <w:t>产品防护</w:t>
            </w:r>
          </w:p>
        </w:tc>
        <w:tc>
          <w:tcPr>
            <w:tcW w:w="1145" w:type="dxa"/>
            <w:vAlign w:val="top"/>
          </w:tcPr>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lang w:val="en-US" w:eastAsia="zh-CN"/>
              </w:rPr>
              <w:t>Q:</w:t>
            </w:r>
            <w:r>
              <w:rPr>
                <w:rFonts w:hint="eastAsia" w:asciiTheme="minorEastAsia" w:hAnsiTheme="minorEastAsia" w:eastAsiaTheme="minorEastAsia" w:cstheme="minorEastAsia"/>
                <w:spacing w:val="-6"/>
                <w:sz w:val="21"/>
                <w:szCs w:val="21"/>
              </w:rPr>
              <w:t>8.5.2</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color w:val="auto"/>
                <w:spacing w:val="-6"/>
                <w:sz w:val="21"/>
                <w:szCs w:val="21"/>
              </w:rPr>
              <w:t>8.5.4</w:t>
            </w:r>
          </w:p>
        </w:tc>
        <w:tc>
          <w:tcPr>
            <w:tcW w:w="9843" w:type="dxa"/>
          </w:tcPr>
          <w:p>
            <w:pPr>
              <w:spacing w:line="400" w:lineRule="exact"/>
              <w:ind w:firstLine="420" w:firstLineChars="200"/>
              <w:jc w:val="left"/>
              <w:rPr>
                <w:rFonts w:hint="eastAsia" w:ascii="宋体" w:hAnsi="宋体" w:eastAsia="宋体"/>
                <w:szCs w:val="21"/>
                <w:highlight w:val="none"/>
                <w:lang w:eastAsia="zh-CN"/>
              </w:rPr>
            </w:pPr>
            <w:r>
              <w:rPr>
                <w:rFonts w:hint="eastAsia" w:ascii="宋体" w:hAnsi="宋体"/>
                <w:szCs w:val="21"/>
                <w:highlight w:val="none"/>
                <w:lang w:val="en-US" w:eastAsia="zh-CN"/>
              </w:rPr>
              <w:t>公司在《管理手册》</w:t>
            </w:r>
            <w:r>
              <w:rPr>
                <w:rFonts w:hint="eastAsia" w:ascii="宋体" w:hAnsi="宋体"/>
                <w:szCs w:val="21"/>
                <w:highlight w:val="none"/>
              </w:rPr>
              <w:t>文件</w:t>
            </w:r>
            <w:r>
              <w:rPr>
                <w:rFonts w:hint="eastAsia" w:ascii="宋体" w:hAnsi="宋体"/>
                <w:szCs w:val="21"/>
                <w:highlight w:val="none"/>
                <w:lang w:val="en-US" w:eastAsia="zh-CN"/>
              </w:rPr>
              <w:t>中</w:t>
            </w:r>
            <w:r>
              <w:rPr>
                <w:rFonts w:hint="eastAsia" w:ascii="宋体" w:hAnsi="宋体"/>
                <w:szCs w:val="21"/>
                <w:highlight w:val="none"/>
              </w:rPr>
              <w:t>对产品、检验状态及唯一性标识做出了规定</w:t>
            </w:r>
            <w:r>
              <w:rPr>
                <w:rFonts w:hint="eastAsia" w:ascii="宋体" w:hAnsi="宋体"/>
                <w:szCs w:val="21"/>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szCs w:val="21"/>
                <w:highlight w:val="none"/>
              </w:rPr>
            </w:pPr>
            <w:r>
              <w:rPr>
                <w:rFonts w:hint="eastAsia" w:ascii="宋体" w:hAnsi="宋体"/>
                <w:szCs w:val="21"/>
                <w:highlight w:val="none"/>
              </w:rPr>
              <w:t>产品标识主要通过划分区域、生产工艺记录、检验记录等进行标识，状态标识分为合格、不合格、待检等，生产加工过程中和产品监视和测量过程中有采取适当的方式对产品进行标识（含检验状态），标识有确保唯一性，当有追溯性要求时，可确保在必要时进行追溯。</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szCs w:val="21"/>
                <w:highlight w:val="none"/>
              </w:rPr>
            </w:pPr>
            <w:r>
              <w:rPr>
                <w:rFonts w:hint="eastAsia" w:ascii="宋体" w:hAnsi="宋体"/>
                <w:szCs w:val="21"/>
                <w:highlight w:val="none"/>
              </w:rPr>
              <w:t>原材料依据不同的类型和防护要求进行防护运输，产品运输要求包装等。</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szCs w:val="21"/>
                <w:highlight w:val="none"/>
              </w:rPr>
            </w:pPr>
            <w:r>
              <w:rPr>
                <w:rFonts w:hint="eastAsia"/>
                <w:highlight w:val="none"/>
                <w:lang w:val="en-US" w:eastAsia="zh-CN"/>
              </w:rPr>
              <w:t>金属圆管存放在铁质货架上，不锈钢板存放在木制托盘上；</w:t>
            </w:r>
            <w:r>
              <w:rPr>
                <w:rFonts w:hint="eastAsia" w:ascii="宋体" w:hAnsi="宋体"/>
                <w:szCs w:val="21"/>
                <w:highlight w:val="none"/>
              </w:rPr>
              <w:t>未发现不同类型和状态产品发生混淆现象。标识和可追溯性基本符合标准要求。</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宋体" w:hAnsi="宋体"/>
                <w:szCs w:val="21"/>
                <w:highlight w:val="none"/>
              </w:rPr>
            </w:pPr>
            <w:r>
              <w:rPr>
                <w:rFonts w:hint="eastAsia" w:ascii="宋体" w:hAnsi="宋体"/>
                <w:szCs w:val="21"/>
                <w:highlight w:val="none"/>
              </w:rPr>
              <w:t>产品生产过程中有采取相应的措施进行防护，以确保符合要求。防护包括标识、处置、污染控制、包装、储存、运输以及保护等。产品交工、包装及交付到预定地点期间，针对产品采取适当的防护措施，包括选择合适的搬运方法和设备（人工搬运车）、贮存场所，保持标识完整、清晰。</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highlight w:val="yellow"/>
              </w:rPr>
            </w:pPr>
            <w:r>
              <w:rPr>
                <w:rFonts w:hint="eastAsia" w:ascii="宋体" w:hAnsi="宋体"/>
                <w:szCs w:val="21"/>
                <w:highlight w:val="none"/>
              </w:rPr>
              <w:t>产品标识和防护管理基本符合要求。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136"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pacing w:val="-6"/>
                <w:kern w:val="2"/>
                <w:sz w:val="21"/>
                <w:szCs w:val="21"/>
                <w:lang w:val="en-US" w:eastAsia="zh-CN" w:bidi="ar-SA"/>
              </w:rPr>
            </w:pPr>
            <w:r>
              <w:rPr>
                <w:rFonts w:hint="eastAsia" w:asciiTheme="minorEastAsia" w:hAnsiTheme="minorEastAsia" w:eastAsiaTheme="minorEastAsia" w:cstheme="minorEastAsia"/>
                <w:color w:val="auto"/>
                <w:spacing w:val="-6"/>
                <w:sz w:val="21"/>
                <w:szCs w:val="21"/>
              </w:rPr>
              <w:t>更改控制</w:t>
            </w:r>
          </w:p>
        </w:tc>
        <w:tc>
          <w:tcPr>
            <w:tcW w:w="1145" w:type="dxa"/>
            <w:vAlign w:val="top"/>
          </w:tcPr>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0" w:firstLineChars="0"/>
              <w:jc w:val="center"/>
              <w:textAlignment w:val="auto"/>
              <w:rPr>
                <w:rFonts w:hint="eastAsia" w:asciiTheme="minorEastAsia" w:hAnsiTheme="minorEastAsia" w:eastAsiaTheme="minorEastAsia" w:cstheme="minorEastAsia"/>
                <w:color w:val="auto"/>
                <w:spacing w:val="-6"/>
                <w:kern w:val="2"/>
                <w:sz w:val="21"/>
                <w:szCs w:val="21"/>
                <w:lang w:val="en-US" w:eastAsia="zh-CN" w:bidi="ar-SA"/>
              </w:rPr>
            </w:pPr>
            <w:r>
              <w:rPr>
                <w:rFonts w:hint="eastAsia" w:asciiTheme="minorEastAsia" w:hAnsiTheme="minorEastAsia" w:eastAsiaTheme="minorEastAsia" w:cstheme="minorEastAsia"/>
                <w:color w:val="auto"/>
                <w:spacing w:val="-6"/>
                <w:sz w:val="21"/>
                <w:szCs w:val="21"/>
                <w:lang w:val="en-US" w:eastAsia="zh-CN"/>
              </w:rPr>
              <w:t>Q:</w:t>
            </w:r>
            <w:r>
              <w:rPr>
                <w:rFonts w:hint="eastAsia" w:asciiTheme="minorEastAsia" w:hAnsiTheme="minorEastAsia" w:eastAsiaTheme="minorEastAsia" w:cstheme="minorEastAsia"/>
                <w:color w:val="auto"/>
                <w:spacing w:val="-6"/>
                <w:sz w:val="21"/>
                <w:szCs w:val="21"/>
              </w:rPr>
              <w:t>8.5.6</w:t>
            </w:r>
          </w:p>
        </w:tc>
        <w:tc>
          <w:tcPr>
            <w:tcW w:w="9843" w:type="dxa"/>
          </w:tcPr>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公司对产品实现过程的更改策划了管理要求</w:t>
            </w:r>
            <w:r>
              <w:rPr>
                <w:rFonts w:hint="eastAsia" w:asciiTheme="minorEastAsia" w:hAnsiTheme="minorEastAsia" w:eastAsiaTheme="minorEastAsia" w:cstheme="minorEastAsia"/>
                <w:highlight w:val="none"/>
                <w:lang w:eastAsia="zh-CN"/>
              </w:rPr>
              <w:t>，</w:t>
            </w:r>
            <w:r>
              <w:rPr>
                <w:rFonts w:hint="eastAsia" w:asciiTheme="minorEastAsia" w:hAnsiTheme="minorEastAsia" w:eastAsiaTheme="minorEastAsia" w:cstheme="minorEastAsia"/>
                <w:highlight w:val="none"/>
              </w:rPr>
              <w:t>主要包括：工艺更改、材料更改、产品信息更改等。</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en-US" w:eastAsia="zh-CN"/>
              </w:rPr>
              <w:t>体系建立以来未发生</w:t>
            </w:r>
            <w:r>
              <w:rPr>
                <w:rFonts w:hint="eastAsia" w:asciiTheme="minorEastAsia" w:hAnsiTheme="minorEastAsia" w:eastAsiaTheme="minorEastAsia" w:cstheme="minorEastAsia"/>
                <w:highlight w:val="none"/>
              </w:rPr>
              <w:t>变更的情况。</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textAlignment w:val="auto"/>
              <w:rPr>
                <w:highlight w:val="yellow"/>
              </w:rPr>
            </w:pPr>
            <w:r>
              <w:rPr>
                <w:rFonts w:hint="eastAsia" w:asciiTheme="minorEastAsia" w:hAnsiTheme="minorEastAsia" w:eastAsiaTheme="minorEastAsia" w:cstheme="minorEastAsia"/>
                <w:highlight w:val="none"/>
                <w:lang w:val="en-US" w:eastAsia="zh-CN"/>
              </w:rPr>
              <w:t>基本符合。</w:t>
            </w: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6"/>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D2408"/>
    <w:rsid w:val="0E345CEF"/>
    <w:rsid w:val="0ED0020D"/>
    <w:rsid w:val="21A27FEC"/>
    <w:rsid w:val="4F045094"/>
    <w:rsid w:val="62DA7BB7"/>
    <w:rsid w:val="67DB47EF"/>
    <w:rsid w:val="6FB21C05"/>
    <w:rsid w:val="7F8C79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4">
    <w:name w:val="Body Text Indent"/>
    <w:basedOn w:val="1"/>
    <w:semiHidden/>
    <w:qFormat/>
    <w:uiPriority w:val="99"/>
    <w:pPr>
      <w:spacing w:after="120"/>
      <w:ind w:left="420" w:leftChars="2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99"/>
    <w:pPr>
      <w:spacing w:after="0"/>
      <w:ind w:left="0" w:leftChars="0" w:firstLine="420" w:firstLineChars="200"/>
      <w:jc w:val="left"/>
    </w:pPr>
    <w:rPr>
      <w:rFonts w:ascii="宋体" w:hAnsi="宋体" w:eastAsia="仿宋_GB2312"/>
      <w:color w:val="000000"/>
      <w:sz w:val="2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7"/>
    <w:qFormat/>
    <w:uiPriority w:val="99"/>
    <w:rPr>
      <w:rFonts w:ascii="Times New Roman" w:hAnsi="Times New Roman" w:eastAsia="宋体" w:cs="Times New Roman"/>
      <w:sz w:val="18"/>
      <w:szCs w:val="18"/>
    </w:rPr>
  </w:style>
  <w:style w:type="character" w:customStyle="1" w:styleId="14">
    <w:name w:val="页脚 Char"/>
    <w:basedOn w:val="11"/>
    <w:link w:val="6"/>
    <w:qFormat/>
    <w:uiPriority w:val="99"/>
    <w:rPr>
      <w:rFonts w:ascii="Times New Roman" w:hAnsi="Times New Roman" w:eastAsia="宋体" w:cs="Times New Roman"/>
      <w:sz w:val="18"/>
      <w:szCs w:val="18"/>
    </w:rPr>
  </w:style>
  <w:style w:type="character" w:customStyle="1" w:styleId="15">
    <w:name w:val="批注框文本 Char"/>
    <w:basedOn w:val="11"/>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lenovo1018</cp:lastModifiedBy>
  <dcterms:modified xsi:type="dcterms:W3CDTF">2021-06-21T02:44:43Z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