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94"/>
        <w:gridCol w:w="9870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1094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9870" w:type="dxa"/>
            <w:vAlign w:val="center"/>
          </w:tcPr>
          <w:p>
            <w:pPr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技术部</w:t>
            </w:r>
            <w:r>
              <w:rPr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r>
              <w:rPr>
                <w:rFonts w:hint="eastAsia" w:ascii="宋体" w:hAnsi="宋体" w:eastAsia="宋体" w:cs="Times New Roman"/>
                <w:color w:val="auto"/>
                <w:sz w:val="24"/>
              </w:rPr>
              <w:t>谢长虎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姜建平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1094" w:type="dxa"/>
            <w:vMerge w:val="continue"/>
            <w:vAlign w:val="center"/>
          </w:tcPr>
          <w:p/>
        </w:tc>
        <w:tc>
          <w:tcPr>
            <w:tcW w:w="9870" w:type="dxa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褚敏杰  谢建辉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2021.6.20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1094" w:type="dxa"/>
            <w:vMerge w:val="continue"/>
            <w:vAlign w:val="center"/>
          </w:tcPr>
          <w:p/>
        </w:tc>
        <w:tc>
          <w:tcPr>
            <w:tcW w:w="9870" w:type="dxa"/>
            <w:vAlign w:val="center"/>
          </w:tcPr>
          <w:p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05" w:rightChars="5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Q:5.3组织的岗位、职责和权限、6.2质量目标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7.1.5监视和测量资源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3设计与开发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8.1运行策划、8.6放行、8.7不合格品控制</w:t>
            </w:r>
          </w:p>
          <w:p>
            <w:pPr>
              <w:spacing w:line="240" w:lineRule="auto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E/O:5.3组织的岗位、职责和权限、6.2环境/职业健康安全目标、6.1.2环境因素/危险源的识别与评价、6.1.4措施的策划、8.1运行策划和控制、8.2应急准备和响应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QEO:5.3</w:t>
            </w:r>
          </w:p>
        </w:tc>
        <w:tc>
          <w:tcPr>
            <w:tcW w:w="9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技术部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现有1人，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主要负责：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生产过程中的质量控制活动；工艺设计和作业性技术文件的制定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u w:val="none"/>
                <w:lang w:val="en-US" w:eastAsia="zh-CN"/>
              </w:rPr>
              <w:t>；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协调处理生产过程中出现的工装问题、工艺问题，确保生产正常进行。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本公司监视和测量设备的管理工作；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本部门环境因素、危险源的识别评价和控制措施的实施。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目标及措施策划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QEO:6.2</w:t>
            </w:r>
          </w:p>
        </w:tc>
        <w:tc>
          <w:tcPr>
            <w:tcW w:w="9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查技术部的质量、环境、安全目标为：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a.产品合格率100%；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b.检测仪器100%经过检定、校准；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c.进厂原材料合格率100%；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d.因公责任重大伤亡事故为0；职业病发病率为0；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e.固体废弃物分类处置率100%；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396" w:firstLineChars="200"/>
              <w:jc w:val="left"/>
              <w:textAlignment w:val="auto"/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u w:val="none"/>
                <w:lang w:val="en-US" w:eastAsia="zh-CN"/>
              </w:rPr>
              <w:t>f.火灾事故为0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查见“目标与管理方案及实施情况一览表”，对指标、措施、时间要求、责任部门、责任人进行了明确；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2021年1季度考核目标均已全部完成；</w:t>
            </w:r>
          </w:p>
          <w:p>
            <w:pPr>
              <w:pStyle w:val="2"/>
              <w:rPr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基本符合。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监视和测量资源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7.1.5</w:t>
            </w:r>
          </w:p>
        </w:tc>
        <w:tc>
          <w:tcPr>
            <w:tcW w:w="9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策划有监视和测量控制程序，有效文件，无变化；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查见“监视和测量设备一览表”，登记了公司在用的监测装置，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de-DE"/>
              </w:rPr>
              <w:t>主要检测设备有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de-DE" w:eastAsia="zh-CN"/>
              </w:rPr>
              <w:t>：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水平尺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de-DE"/>
              </w:rPr>
              <w:t>、钢尺、卷尺、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激光测距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de-DE"/>
              </w:rPr>
              <w:t>仪、游标卡尺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de-DE" w:eastAsia="zh-CN"/>
              </w:rPr>
              <w:t>（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数显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de-DE" w:eastAsia="zh-CN"/>
              </w:rPr>
              <w:t>）</w:t>
            </w: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highlight w:val="none"/>
                <w:lang w:val="de-DE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查见上述装置的校准证书：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激光测距仪——2020.12.10，结论通过；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钢直尺——2020.11.30，结论通过；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钢卷尺——2020.11.29，结论通过；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水平尺——2020.11.29，结论通过；</w:t>
            </w:r>
          </w:p>
          <w:p>
            <w:pPr>
              <w:pStyle w:val="2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数显卡尺——2020.11.29，结论通过；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以上证书均由深圳华科计量检测技术有限公司出具；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color w:val="auto"/>
                <w:kern w:val="2"/>
                <w:sz w:val="21"/>
                <w:lang w:val="en-US" w:eastAsia="zh-CN" w:bidi="ar-SA"/>
              </w:rPr>
              <w:t>基本符合。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环境因素/危险源的识别与评价</w:t>
            </w:r>
          </w:p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措施的策划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EO:6.1.2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  <w:t>6.1.4</w:t>
            </w:r>
          </w:p>
        </w:tc>
        <w:tc>
          <w:tcPr>
            <w:tcW w:w="9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提供了环境因素和危险源识别评价与控制程序，有效文件，无变化。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szCs w:val="22"/>
                <w:lang w:val="en-US" w:eastAsia="zh-CN"/>
              </w:rPr>
              <w:t>查“环境因素辨识和评价表”，对办公活动的生活垃圾的处置不当污染环境、办公场所吸烟污染环境、复印机打印机废墨盒处置污染环境、火灾发生后废弃物污染大气、水土等，以及激光切割、折弯工序、焊接工序、组装工序、总检、能源消耗、用电不当、生产垃圾等过程中粉尘的排放，噪声的排放，能源的消耗，废渣的排放、固废的废弃等进行了辨识和评价；在环境评价过程中考虑到环境影响、三种时态和三种状态，考虑了生命周期观点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采取打分法评价；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查到“重要环境因素清单”，评价出</w:t>
            </w: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重大环境因素：固体废物排放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、焊接烟尘</w:t>
            </w: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查“危害辨识、风险评价、风险控制工作表”，识别了办公、生产、采购、销售、研发等过程中的危险源触电、火灾、机械伤害、听力损害、爆炸、高空坠落、中毒、职业病、人身伤害等；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对识别出的危险源采取D=LEC进行评价；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查到“不可接受风险清单”，</w:t>
            </w:r>
            <w:r>
              <w:rPr>
                <w:rFonts w:hint="eastAsia"/>
                <w:color w:val="auto"/>
                <w:lang w:val="en-US" w:eastAsia="zh-CN"/>
              </w:rPr>
              <w:t>经评价</w:t>
            </w: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不可接受风险：机械伤害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、噪声排放、</w:t>
            </w: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潜在火灾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触电伤害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制订了“目标与管理方案及实施情况一览表”，明确了控制措施、时间要求、责任部门、责任人等。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运行策划和控制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8.1</w:t>
            </w:r>
          </w:p>
        </w:tc>
        <w:tc>
          <w:tcPr>
            <w:tcW w:w="9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公司策划了环境安全管理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相关程序文件和管理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制度：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color w:val="auto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运行控制程序、废弃物控制程序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噪声控制程序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消防控制程序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资源能源控制程序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2"/>
                <w:lang w:val="en-US" w:eastAsia="zh-CN"/>
              </w:rPr>
              <w:t>应急准备和响应控制程序</w:t>
            </w:r>
            <w:r>
              <w:rPr>
                <w:rFonts w:hint="eastAsia" w:cs="Times New Roman"/>
                <w:color w:val="auto"/>
                <w:szCs w:val="22"/>
                <w:lang w:val="en-US" w:eastAsia="zh-CN"/>
              </w:rPr>
              <w:t>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现场观察：配置的办公桌符合人机工程要求，干净整洁，照明、通风良好；配置有空调，温度适宜；有少量绿植；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查见配置有灭火器，状态良好；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节约用水用电、纸张双面使用、无乱拉乱接电线、无超额电器使用；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生活废水经市政管网排放；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办公环境安静，无明显噪声和废气；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办公垃圾由环卫部门收集处理；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办公用墨盒硒鼓等危废以旧换新；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对部门员工进行了不定期的交通安全宣传；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查见“</w:t>
            </w:r>
            <w:r>
              <w:rPr>
                <w:rFonts w:hint="default"/>
                <w:color w:val="auto"/>
                <w:highlight w:val="none"/>
                <w:lang w:val="en-US" w:eastAsia="zh-CN"/>
              </w:rPr>
              <w:t>相关方告知书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”，有效文件，对供方进行了环境和职业健康安全有关事项的沟通。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应急准备和响应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EO: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  <w:t>8.2</w:t>
            </w:r>
          </w:p>
        </w:tc>
        <w:tc>
          <w:tcPr>
            <w:tcW w:w="9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参加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>行政部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组织的应急演练，见</w:t>
            </w:r>
            <w:r>
              <w:rPr>
                <w:rFonts w:hint="eastAsia" w:ascii="Times New Roman" w:hAnsi="Times New Roman" w:cs="Times New Roman"/>
                <w:szCs w:val="22"/>
                <w:highlight w:val="none"/>
                <w:lang w:val="en-US" w:eastAsia="zh-CN"/>
              </w:rPr>
              <w:t>行政</w:t>
            </w:r>
            <w:r>
              <w:rPr>
                <w:rFonts w:hint="eastAsia" w:ascii="Times New Roman" w:hAnsi="Times New Roman" w:eastAsia="宋体" w:cs="Times New Roman"/>
                <w:szCs w:val="22"/>
                <w:highlight w:val="none"/>
                <w:lang w:val="en-US" w:eastAsia="zh-CN"/>
              </w:rPr>
              <w:t>部审核记录。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top"/>
          </w:tcPr>
          <w:p>
            <w:pP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设计与开发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</w:rPr>
              <w:t>8.</w:t>
            </w: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策划了“设计和开发控制程序”，有效文件，无变化；</w:t>
            </w:r>
          </w:p>
          <w:p>
            <w:pPr>
              <w:pStyle w:val="2"/>
              <w:rPr>
                <w:rFonts w:hint="eastAsia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查设计开发的过程控制，抽见</w:t>
            </w: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“红木内饰、棺椁殡仪车”项目：</w:t>
            </w:r>
          </w:p>
          <w:p>
            <w:pPr>
              <w:pStyle w:val="2"/>
              <w:rPr>
                <w:rFonts w:hint="eastAsia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1、“设计任务书”，明确了任务内容、设计人员的组成等；</w:t>
            </w:r>
          </w:p>
          <w:p>
            <w:pPr>
              <w:pStyle w:val="2"/>
              <w:rPr>
                <w:rFonts w:hint="eastAsia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2、“产品设计开发计划书”，明确了开发周期、项目总负责人、开发成本、设计人员组成、阶段划分及主要内容等；</w:t>
            </w:r>
          </w:p>
          <w:p>
            <w:pPr>
              <w:pStyle w:val="2"/>
              <w:rPr>
                <w:rFonts w:hint="eastAsia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3、新产品设计开发输入清单，明确了设计输入-顾客及产品要求，以及对输入的评审记录；</w:t>
            </w:r>
          </w:p>
          <w:p>
            <w:pPr>
              <w:pStyle w:val="2"/>
              <w:rPr>
                <w:rFonts w:hint="eastAsia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 w:cs="Times New Roman"/>
                <w:szCs w:val="22"/>
                <w:highlight w:val="none"/>
                <w:lang w:val="en-US" w:eastAsia="zh-CN"/>
              </w:rPr>
              <w:t>4、新产品设计开发输出清单，包括图纸、参数；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5、新产品设计开发评审报告，对设计进行了评审和验证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内容包括——1．合同、标准符合性，2．设计可行性，3．时间可控性，4．结构合理性，5．可修改性，6．可检测性，7．界面美观性，8．操作简易性，9．运行安全性，10．符合绿色产品效能；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结论包括——存在问题及改进建议；对纠正、改进措施的跟踪验证结果；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评审人员签字；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6、设计开发确认报告，评审时间2020.11.20；明确了确认办法、确认的内容等；确认结论为符合要求。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确认人员包括总经理、生产、技术负责人以及客户。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default" w:cs="Times New Roman"/>
                <w:szCs w:val="22"/>
                <w:highlight w:val="none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设计开发过程基本受控。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2160" w:type="dxa"/>
            <w:vAlign w:val="top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运行策划</w:t>
            </w: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放行</w:t>
            </w:r>
          </w:p>
        </w:tc>
        <w:tc>
          <w:tcPr>
            <w:tcW w:w="1094" w:type="dxa"/>
            <w:vAlign w:val="top"/>
          </w:tcPr>
          <w:p>
            <w:pPr>
              <w:jc w:val="center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Q:8.1</w:t>
            </w:r>
          </w:p>
          <w:p>
            <w:pPr>
              <w:jc w:val="center"/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8.6</w:t>
            </w:r>
          </w:p>
          <w:p>
            <w:pPr>
              <w:jc w:val="center"/>
              <w:rPr>
                <w:rFonts w:hint="default" w:ascii="宋体" w:hAnsi="宋体" w:eastAsia="宋体" w:cs="Arial"/>
                <w:color w:val="auto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color w:val="auto"/>
                <w:spacing w:val="-6"/>
                <w:sz w:val="21"/>
                <w:szCs w:val="21"/>
                <w:lang w:val="en-US" w:eastAsia="zh-CN"/>
              </w:rPr>
              <w:t>8.7</w:t>
            </w:r>
          </w:p>
        </w:tc>
        <w:tc>
          <w:tcPr>
            <w:tcW w:w="987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技术部进行了产品实现的策划：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生产工艺流程如下：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原材料采购—进货检验—激光切割—折弯工序—焊接工序—组装工序—总检—整车出厂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关键过程：焊接过程；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产品策划主要依据顾客的要求以及相关标准，策划输出的具体结果包括以下内容：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a）确定产品和服务的要求；--作业文件、产品标准等。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b）建立过程准则以及产品和服务的接收准则；---产品标准。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c）确定符合产品和服务要求的资源；---流程图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d）按照准则实施过程控制；---生产过程监控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e）保持、保留必要的文件和记录。---文件和质量记录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——策划输出经过评审及跟进、必要的更改控制及批准等以适合组织的运行需要。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公司策划了企业标准——殡仪车技术条件、关键件进货检验/验证规范、过程产品检验规范、整车例行检验和确认检验规范等文件；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并收集了相关标准：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792" w:firstLineChars="400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汽车、挂车及汽车列车外廓尺寸、轴荷及质量限值GB1589-2016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792" w:firstLineChars="400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汽车静倾翻稳定性台架试验方法GB/T14172-2009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792" w:firstLineChars="400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道路车辆车辆识别代号（VIN）GB16735-2004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792" w:firstLineChars="400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机动车用三角警告牌GB19151-2003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792" w:firstLineChars="400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机动车运行安全技术条件GB7258-2017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792" w:firstLineChars="400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专用汽车定型检验规程QC/T252-1998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792" w:firstLineChars="400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江西广泉专用汽车制造有限公司企业技术条件QC/T453-2002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792" w:firstLineChars="400"/>
              <w:textAlignment w:val="auto"/>
              <w:rPr>
                <w:rFonts w:hint="eastAsia"/>
                <w:highlight w:val="yellow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汽车产品定型试验及报告要求2010-11-1等；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技术部根据策划的安排，实施了验证产品和服务满足要求的活动-原材料检验、过程检验和成品检验：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采购/原材料检验：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北汽福田底盘车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“PDI检查表”——底盘号、发动机号等19项内容，检验结果、检验人员签字；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双面拉丝板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“进货检验单”——数量、外观、规格型号、材质报告等；介绍说，公司对不锈钢材质的检验主要是外观和数量，没有能力进行材质的理化性能检验，理化性能通过供应商提供的材质报告进行确认；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劳保用品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“劳保用品检验单”——口罩、手套、护目镜等，数量、合格证、外观等，检验合格；检验人员签署姓名和时间；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过程检验：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查见“过程产品检验记录”：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车辆识别代号：LVCP2FVA9MS002142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——2021-4；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1、车身底板完成产品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2、内隔板装置完成产品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3、花台完成产品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4、常温棺完成产品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5、安装过程完成产品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以上过程主要检验项目包括尺寸、焊接、外观等，检验结果符合技术要求；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另抽见车辆识别代号：LVCP2FWA9MS025855——2021-5；同上。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介绍说，整个改装过程简单，最大允许公差10mm、最小的允许公差为0.5mm，一般不会出现不符合。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2" w:firstLineChars="200"/>
              <w:textAlignment w:val="auto"/>
              <w:rPr>
                <w:rFonts w:hint="eastAsia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lang w:val="en-US" w:eastAsia="zh-CN"/>
              </w:rPr>
              <w:t>出厂检验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车辆识别代号：LVCP2FVA9MS002142——2021.4.21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整车例行检验检查表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检查内容包括：整车标志、图形和文字标志、内部尺寸、</w:t>
            </w:r>
            <w:r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漏水检查</w:t>
            </w: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、漏油检查等，记录了检验结果和符合性判断-均符合；检验员签署姓名和时间；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整车确认检验报告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内容包括：尺寸、外观、防雨密封性、机动车用三角警告牌等；根据相关技术标准进行确认检验，结论符合；检验人员签署姓名和时间。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lang w:val="en-US" w:eastAsia="zh-CN"/>
              </w:rPr>
              <w:t>另抽见车辆识别代号：LVCP2FWA9MS025855——2021.5.29；同上。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抽见“产品合格证”：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合格证编号：YW2162020122602，发证日期20201227，盖合格证专用章，附二维条码；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color w:val="auto"/>
                <w:spacing w:val="-6"/>
                <w:sz w:val="21"/>
                <w:szCs w:val="21"/>
                <w:highlight w:val="none"/>
                <w:lang w:val="en-US" w:eastAsia="zh-CN"/>
              </w:rPr>
              <w:t>检验结论：符合Q/GQH001-2019《殡仪车》的要求，准予出厂。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第三方检验：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提供：“中国国家强制性产品认证证书”，2020011101270610；2025年01月13日；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textAlignment w:val="auto"/>
              <w:rPr>
                <w:rFonts w:hint="default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殡仪车：GQH5030XBY;GQH5031XBY;GQH5040XBY;GQH5032XBY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；</w:t>
            </w: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上述产品符合强制性产品认证实施规则CNCA-C11-01：2014的要求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160" w:type="dxa"/>
            <w:vAlign w:val="top"/>
          </w:tcPr>
          <w:p>
            <w:pPr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不合格品控制</w:t>
            </w:r>
          </w:p>
        </w:tc>
        <w:tc>
          <w:tcPr>
            <w:tcW w:w="1094" w:type="dxa"/>
            <w:vAlign w:val="top"/>
          </w:tcPr>
          <w:p>
            <w:pPr>
              <w:rPr>
                <w:rFonts w:hint="default" w:ascii="宋体" w:hAnsi="宋体" w:eastAsia="宋体" w:cs="Arial"/>
                <w:spacing w:val="-6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pacing w:val="-6"/>
                <w:sz w:val="21"/>
                <w:szCs w:val="21"/>
                <w:lang w:val="en-US" w:eastAsia="zh-CN"/>
              </w:rPr>
              <w:t>Q:8.7</w:t>
            </w:r>
          </w:p>
        </w:tc>
        <w:tc>
          <w:tcPr>
            <w:tcW w:w="987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编制了《不符合、纠正和预防措施控制程序》，有效文件，无变化。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经查，公司体系运行以来没发生对不合格品进行让步放行的情况，采购进货检验中发现的不合格品，由技术部负责退回供应商，目前，公司的供应商比较稳定，产品质量达到公司的要求，未出现采购不合格的情况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60" w:lineRule="auto"/>
              <w:ind w:firstLine="42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 w:val="0"/>
                <w:color w:val="auto"/>
                <w:spacing w:val="0"/>
                <w:kern w:val="2"/>
                <w:sz w:val="21"/>
                <w:szCs w:val="22"/>
                <w:highlight w:val="none"/>
                <w:lang w:val="en-US" w:eastAsia="zh-CN" w:bidi="ar-SA"/>
              </w:rPr>
              <w:t>基本符合要求。</w:t>
            </w:r>
          </w:p>
        </w:tc>
        <w:tc>
          <w:tcPr>
            <w:tcW w:w="1585" w:type="dxa"/>
            <w:vAlign w:val="top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lang w:val="en-US" w:eastAsia="zh-CN" w:bidi="ar-SA"/>
              </w:rPr>
              <w:t>Y</w:t>
            </w:r>
          </w:p>
        </w:tc>
      </w:tr>
    </w:tbl>
    <w:p>
      <w:r>
        <w:ptab w:relativeTo="margin" w:alignment="center" w:leader="none"/>
      </w:r>
    </w:p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635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ISC-B-II-1</w:t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58240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CEGquXWAAAACgEAAA8AAAAAAAAAAQAgAAAAIgAAAGRycy9kb3ducmV2Lnht&#10;bFBLAQIUABQAAAAIAIdO4kBMBgIR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ISC-B-II-1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00F96"/>
    <w:rsid w:val="0DBF218D"/>
    <w:rsid w:val="280B1217"/>
    <w:rsid w:val="39894983"/>
    <w:rsid w:val="54DE2586"/>
    <w:rsid w:val="581134FA"/>
    <w:rsid w:val="60787C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 w:afterLines="0" w:afterAutospacing="0"/>
      <w:ind w:firstLine="720" w:firstLineChars="200"/>
    </w:pPr>
    <w:rPr>
      <w:rFonts w:ascii="Times New Roman" w:hAnsi="Times New Roman" w:eastAsia="宋体" w:cs="Times New Roman"/>
      <w:sz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14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130</Characters>
  <Lines>1</Lines>
  <Paragraphs>1</Paragraphs>
  <TotalTime>82</TotalTime>
  <ScaleCrop>false</ScaleCrop>
  <LinksUpToDate>false</LinksUpToDate>
  <CharactersWithSpaces>151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lenovo1018</cp:lastModifiedBy>
  <dcterms:modified xsi:type="dcterms:W3CDTF">2021-06-21T03:30:04Z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