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66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5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行政部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陈小忠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陈美桃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MS：5.3组织的岗位、职责和权限、6.2质量目标、7.1.2人员、7.1.3基础设施、7.1.4过程运行环境、7.1.5监视和测量资源、7.1.6组织知识、7.2能力、7.3意识、7.5形成文件的信息、9.1.1监视、测量、分析和评价总则、9.1.3分析与评价、9.2内部审核、10.2不合格和纠正措施；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EMS/OHSMS：5.3组织的岗位、职责和权限、</w:t>
            </w:r>
            <w:r>
              <w:rPr>
                <w:rFonts w:hint="eastAsia"/>
                <w:szCs w:val="22"/>
                <w:lang w:val="en-US" w:eastAsia="zh-CN"/>
              </w:rPr>
              <w:t>6.1.2、环境因素/危险源辨识评价和控制、6.1.4控制措施的策划、</w:t>
            </w:r>
            <w:r>
              <w:rPr>
                <w:rFonts w:hint="eastAsia"/>
                <w:szCs w:val="22"/>
              </w:rPr>
              <w:t>6.2环境/职业健康安全目标及实现目标措施的策划、7.1资源、7.2能力、7.3意识、7.5形成文件的信息、</w:t>
            </w:r>
            <w:r>
              <w:rPr>
                <w:rFonts w:hint="eastAsia"/>
                <w:szCs w:val="22"/>
                <w:lang w:val="en-US" w:eastAsia="zh-CN"/>
              </w:rPr>
              <w:t>8.1运行控制、8.2应急管理、</w:t>
            </w:r>
            <w:r>
              <w:rPr>
                <w:rFonts w:hint="eastAsia"/>
                <w:szCs w:val="22"/>
              </w:rPr>
              <w:t>9.1.1监视、测量、分析和评价总则、9.2内部审核、10.2不符合/事件和纠正措施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54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066" w:type="dxa"/>
          </w:tcPr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本部门现有人员2人，其中主管1人、管理人员1人；</w:t>
            </w: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主要负责行政管理和人力资源管理；</w:t>
            </w: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组织本部门的环境因素、危险源的识别、评价及控制；</w:t>
            </w:r>
          </w:p>
          <w:p>
            <w:pPr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协助做好管理评审工作、组织开展内部审核。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5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066" w:type="dxa"/>
          </w:tcPr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2021年5月，显示对目标按照部门进行了分解；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查见行政部目标分解及完成情况：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文件受控率达100%；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培训合格率达100%；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火灾事故为0；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交通意外伤害为零；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固废分类处置率100%；</w:t>
            </w:r>
          </w:p>
          <w:p>
            <w:pPr>
              <w:spacing w:line="360" w:lineRule="auto"/>
              <w:ind w:firstLine="396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考核结果显示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和危险源识别评价与控制程序》行政部按照办公过程和采购服务过程、销售服务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识别评价汇总表”，识别了在办公、采购、销售、相关方等各有关过程的环境因素，包括日光灯更换、电脑使用用电消耗、办公纸张、采购、销售活动宣传材料的处置、车辆尾气排放、废包装物排放、水电消耗等环境因素，识别时能考虑产品生命周期观点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查公司《重要环境因素清单》，包括：潜在火灾、固废排放、能源消耗；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控制措施：固废分类存放、垃圾等由行政部负责按规定处置，包装物分类卖掉，日常检查、培训教育，配备有消防器材、制定应急预案、培养节约意识等措施。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查“危险源识别及风险评价表”，识别了办公电线破损裸露、电器漏电触电、电脑显示屏的辐射、电器超负荷、醉酒、疲劳驾驶等危险源。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查公司《不可接受风险清单》，包括：触电、火灾事故、交通意外伤害的发生；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控制措施：危险源控制执行管理方案、配备消防器材、日常检查、培训教育、应急预案等运行控制措施。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人员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能力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意识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7.1.2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7.2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7.3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查见“人力资源管理控制程序”，有效文件；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建立有岗位说明书，明确了人员岗位能力、学历等要求，以及主要职责和权限；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公司现有人员10名，员工签订有劳动合同，抽见：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肖XX、熊XX，合同为固定格式，签订符合要求；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查见2020-2021年度员工培训计划，包括有体系标准</w:t>
            </w:r>
            <w:r>
              <w:rPr>
                <w:rFonts w:hint="eastAsia" w:cs="Times New Roman"/>
                <w:szCs w:val="22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应知内容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公司管理制度培训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</w:t>
            </w:r>
            <w:r>
              <w:rPr>
                <w:rFonts w:hint="eastAsia" w:cs="Times New Roman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安全法律法规的培训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销售员在外注意事项的培训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上下班道路安全教育的培训等</w:t>
            </w:r>
            <w:r>
              <w:rPr>
                <w:rFonts w:hint="eastAsia" w:cs="Times New Roman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项；抽见员工培训记录：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2021.1.12</w:t>
            </w:r>
            <w:r>
              <w:rPr>
                <w:rFonts w:hint="eastAsia" w:cs="Times New Roman"/>
                <w:szCs w:val="22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体系文件（、制度汇编、作业指导书等）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2021.4.20——环境、安全法律法规的培训；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2021.5.18——环境、安全管理目标及方案；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以上培训均保留了培训记录和考核及评价记录；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查见：杨XX、付XX等人的安全技术防范行业专业技术人员培训的合格证书；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经与总经理和业务人员交流，能意识到在质量、环境、职业健康安全方面自身的贡献、了解和掌握方针、不符合管理体系的要求、未履行合规义务的后果。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基础设施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查见“基础设施和工作环境控制程序”，有效文件；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查见“办公设施一览表”，登记有办公设备有台式电脑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6台、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打印机（彩色）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1台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等；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介绍说，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办公电器正常使用，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出现故障时，一般报修通过电话进行，故障排除后通过试运行进行验收。未保留报修和验收记录，交流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办公场地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租用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，位于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锦绣江南小区19号楼，查见有租赁合同，面积600平方米左右，设有200平方米左右的展厅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066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Q:7.1.4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  <w:p>
            <w:pPr>
              <w:pStyle w:val="2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策划了运行控制文件包括：运行控制程序、废弃物控制程序、噪声控制程序、消防控制程序、固废管理制度等；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现场观察，办公面积约600平方米，分区设置，配置的办公桌符合人机工程要求，干净整洁，照明、通风良好；配置有空调，温度适宜；有少量绿植；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不定期对员工进行交通安全宣传；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员工关系和谐，墙面张贴有文化宣传活动的资料，与工作人员交流时，情绪愉快。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066" w:type="dxa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编制了《应急准备和响应程序》，确定的紧急情况有：火灾、触电等。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建立了火灾、触电、疫情防控等应急预案；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对消防器材有进行检查；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查见“2021年应急救援预案演练计划”，对预案演练进行了策划；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查见预案演练记录：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2021.3.20，全体员工开展了火灾救援预案的灭火演练；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存在问题：个别人员认为是搞演练存在无所谓的思想，很不严肃；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下步工作：抓好职工安全教育培训，开展技能练兵，提高业务素质等。</w:t>
            </w:r>
          </w:p>
          <w:p>
            <w:pPr>
              <w:pStyle w:val="2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另查见2021年5月5日进行触电应急救援演练记录，同上。</w:t>
            </w:r>
          </w:p>
          <w:p>
            <w:pPr>
              <w:pStyle w:val="2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应急管理基本符合。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本公司的监视测量装置主要是顾客满意度调查表等，正常使用，无需校准和检测。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组织知识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7.1.6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的组织知识主要包括：收集的各种知识、法律法规以及转换形成各种规章制度、设计规范等，积累的管理制度、体系文件、支持性文件、各种记录表单，以前的设计资料、外部学习的资料、从顾客或外部供方收集的知识等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公司把组织知识用于指导公司的日常工作和管理。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形成文件的信息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7.5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依据ISO9001：2015、ISO14001：2015、ISO45001：2018标准，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策划了公司的管理体系文件：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体系文件包括：</w:t>
            </w:r>
          </w:p>
          <w:p>
            <w:pPr>
              <w:spacing w:line="360" w:lineRule="auto"/>
              <w:ind w:firstLine="396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《管理手册》B/0版，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于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2021年05月10日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实施，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yellow"/>
                <w:lang w:val="en-US" w:eastAsia="zh-CN"/>
              </w:rPr>
              <w:t>扩大认证范围后予以变更，增加了智慧档案馆、智能密集架、智慧图书馆、库房一体化控制系统、激光模拟训练系统、实弹模拟训练系统的销售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yellow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程序文件——风险和机遇的应对控制程序、顾客满意度控制程序、采购控制程序、销售和服务管理控制程序、环境因素和危险源识别评价与控制程序、环境和职业健康安全法律法规控制程序、应急准备和响应控制程序、监视和测量控制程序、不符合/纠正和预防措施控制程序等26个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管理文件——固废管理制度、合同管理制度、售后服务管理制度、投标管理制度、销售人员礼仪规范制度、安全组织措施制度等10余个；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建立有外来文件清单，收集中华人民共和国产品质量法、中华人民共和国环境保护法、中华人民共和国消防法以及公安、警用器械相关标准和法律等22个；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建立环境、职业健康安全法律法规和其他要求清单，共110个。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文件化管理体系目前基本满足要求。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管理体系文件经过总经理审批实施发布，经评审，目前文件和目录均适用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符合要求。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——编制《文件化信息管理控制程序》，内容符合基本标准要求。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抽查：受控文件清单、管理评审计划、培训计划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、管理手册、程序文件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电子文件储存在电脑中，定期进行自动备份，备份在云平台中。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成文信息由各部门负责保存，以便查阅。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经查，基本符合标准要求。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监测、分析和评价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9.1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公司在管理手册中明确了监视测量的要求，</w:t>
            </w:r>
            <w:r>
              <w:rPr>
                <w:rFonts w:hint="default"/>
                <w:lang w:val="en-US" w:eastAsia="zh-CN"/>
              </w:rPr>
              <w:t>制定了《顾客满意度测量控制程序》、《管理评审控制程序》和《内部审核控制程序》等程序。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行政部保留“目标考核表”，对各部门完成目标情况进行监测；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查见“环境安全运行检查记录”，每月一次，抽见2021年1-5月，对固废集中收集、安全用电、消防安全、员工吸烟行为等情况进行检查，均正常。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内部审核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9.2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查见“内审控制程序”，有效文件；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公司2021年4月10-11日开展了内审，内审覆盖全部门、全条款；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保留了内审计划、内审报告、不符合项报告；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default" w:cs="Times New Roman"/>
                <w:szCs w:val="22"/>
                <w:lang w:val="en-US" w:eastAsia="zh-CN"/>
              </w:rPr>
              <w:t>本次内审开具不符合报告</w:t>
            </w:r>
            <w:r>
              <w:rPr>
                <w:rFonts w:hint="eastAsia" w:cs="Times New Roman"/>
                <w:szCs w:val="22"/>
                <w:lang w:val="en-US" w:eastAsia="zh-CN"/>
              </w:rPr>
              <w:t>1</w:t>
            </w:r>
            <w:r>
              <w:rPr>
                <w:rFonts w:hint="default" w:cs="Times New Roman"/>
                <w:szCs w:val="22"/>
                <w:lang w:val="en-US" w:eastAsia="zh-CN"/>
              </w:rPr>
              <w:t>份，已整改，有整改验收记录；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default" w:cs="Times New Roman"/>
                <w:szCs w:val="22"/>
                <w:lang w:val="en-US" w:eastAsia="zh-CN"/>
              </w:rPr>
              <w:t>内审结论为：公司三体系运行基本良好，运行达到一定的效果，基本符合ISO9001:2015；ISO14001:2015；ISO45001:2018标准的要求，但仍存在不足，各部门应举一反三，对类似问题予以整改。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不符合/事件和纠正措施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10.2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公司建立“不符合、纠正和预防措施控制程序”、“事故调查处理控制程序”，有效文件。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公司成立以来没有发生重大质量、环境和职业健康安全事故、投诉、处罚。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基本符合标准规定要求。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D59B7"/>
    <w:rsid w:val="2C25131F"/>
    <w:rsid w:val="2CAA7BD9"/>
    <w:rsid w:val="3D93250B"/>
    <w:rsid w:val="41C87AB6"/>
    <w:rsid w:val="601A4028"/>
    <w:rsid w:val="746935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9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2021-06-23T01:01:41Z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