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1175"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管理层/员工代表   </w:t>
            </w:r>
            <w:r>
              <w:rPr>
                <w:rFonts w:hint="eastAsia"/>
                <w:sz w:val="24"/>
                <w:szCs w:val="24"/>
              </w:rPr>
              <w:t>主管领导：</w:t>
            </w:r>
            <w:r>
              <w:rPr>
                <w:rFonts w:hint="eastAsia"/>
                <w:sz w:val="24"/>
                <w:szCs w:val="24"/>
                <w:lang w:val="en-US" w:eastAsia="zh-CN"/>
              </w:rPr>
              <w:t xml:space="preserve">赖艳华 陈小忠   </w:t>
            </w:r>
            <w:r>
              <w:rPr>
                <w:rFonts w:hint="eastAsia"/>
                <w:sz w:val="24"/>
                <w:szCs w:val="24"/>
              </w:rPr>
              <w:t>陪同人员：</w:t>
            </w:r>
            <w:r>
              <w:rPr>
                <w:rFonts w:hint="eastAsia"/>
                <w:sz w:val="24"/>
                <w:szCs w:val="24"/>
                <w:lang w:val="en-US" w:eastAsia="zh-CN"/>
              </w:rPr>
              <w:t>陈美桃</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vMerge w:val="continue"/>
            <w:vAlign w:val="center"/>
          </w:tcPr>
          <w:p>
            <w:pPr>
              <w:spacing w:line="240" w:lineRule="auto"/>
            </w:pPr>
          </w:p>
        </w:tc>
        <w:tc>
          <w:tcPr>
            <w:tcW w:w="1175" w:type="dxa"/>
            <w:vMerge w:val="continue"/>
            <w:vAlign w:val="center"/>
          </w:tcPr>
          <w:p>
            <w:pPr>
              <w:spacing w:line="240" w:lineRule="auto"/>
            </w:pPr>
          </w:p>
        </w:tc>
        <w:tc>
          <w:tcPr>
            <w:tcW w:w="10004" w:type="dxa"/>
            <w:vAlign w:val="center"/>
          </w:tcPr>
          <w:p>
            <w:pPr>
              <w:spacing w:before="120" w:line="24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pPr>
              <w:spacing w:line="240" w:lineRule="auto"/>
            </w:pPr>
          </w:p>
        </w:tc>
        <w:tc>
          <w:tcPr>
            <w:tcW w:w="1175" w:type="dxa"/>
            <w:vMerge w:val="continue"/>
            <w:vAlign w:val="center"/>
          </w:tcPr>
          <w:p>
            <w:pPr>
              <w:spacing w:line="240" w:lineRule="auto"/>
            </w:pPr>
          </w:p>
        </w:tc>
        <w:tc>
          <w:tcPr>
            <w:tcW w:w="10004" w:type="dxa"/>
            <w:vAlign w:val="center"/>
          </w:tcPr>
          <w:p>
            <w:pPr>
              <w:spacing w:line="240" w:lineRule="auto"/>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7.1.1（EO7.1）资源总则、7.4沟通/信息交流、9.3管理评审、10.1改进、10.3持续改进</w:t>
            </w:r>
          </w:p>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Q：6.3变更的策划、8.3删减确认</w:t>
            </w:r>
          </w:p>
          <w:p>
            <w:pPr>
              <w:adjustRightInd w:val="0"/>
              <w:snapToGrid w:val="0"/>
              <w:spacing w:line="240" w:lineRule="auto"/>
              <w:ind w:right="105" w:rightChars="50"/>
              <w:textAlignment w:val="baseline"/>
              <w:rPr>
                <w:sz w:val="24"/>
                <w:szCs w:val="24"/>
              </w:rPr>
            </w:pPr>
            <w:r>
              <w:rPr>
                <w:rFonts w:hint="eastAsia" w:ascii="宋体" w:hAnsi="宋体" w:eastAsia="宋体" w:cs="Arial"/>
                <w:spacing w:val="-6"/>
                <w:sz w:val="21"/>
                <w:szCs w:val="21"/>
              </w:rPr>
              <w:t>O：5.4协商与参与</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理解组织及其环境</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QEO:4.1</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江西锐盾智能科技有限公司成立于2017年0</w:t>
            </w:r>
            <w:r>
              <w:rPr>
                <w:rFonts w:hint="eastAsia" w:ascii="宋体" w:hAnsi="宋体" w:cs="Arial"/>
                <w:color w:val="auto"/>
                <w:spacing w:val="-6"/>
                <w:sz w:val="21"/>
                <w:szCs w:val="21"/>
                <w:lang w:val="en-US" w:eastAsia="zh-CN"/>
              </w:rPr>
              <w:t>3</w:t>
            </w:r>
            <w:r>
              <w:rPr>
                <w:rFonts w:hint="eastAsia" w:ascii="宋体" w:hAnsi="宋体" w:eastAsia="宋体" w:cs="Arial"/>
                <w:color w:val="auto"/>
                <w:spacing w:val="-6"/>
                <w:sz w:val="21"/>
                <w:szCs w:val="21"/>
                <w:lang w:eastAsia="zh-CN"/>
              </w:rPr>
              <w:t>月</w:t>
            </w:r>
            <w:r>
              <w:rPr>
                <w:rFonts w:hint="eastAsia" w:ascii="宋体" w:hAnsi="宋体" w:cs="Arial"/>
                <w:color w:val="auto"/>
                <w:spacing w:val="-6"/>
                <w:sz w:val="21"/>
                <w:szCs w:val="21"/>
                <w:lang w:val="en-US" w:eastAsia="zh-CN"/>
              </w:rPr>
              <w:t>03日</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注册资金5188.8万元；</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注册</w:t>
            </w:r>
            <w:r>
              <w:rPr>
                <w:rFonts w:hint="eastAsia" w:ascii="宋体" w:hAnsi="宋体" w:cs="Arial"/>
                <w:color w:val="auto"/>
                <w:spacing w:val="-6"/>
                <w:sz w:val="21"/>
                <w:szCs w:val="21"/>
                <w:lang w:val="en-US" w:eastAsia="zh-CN"/>
              </w:rPr>
              <w:t>地址</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lang w:eastAsia="zh-CN"/>
              </w:rPr>
              <w:t>江西省宜春市樟树市观上镇观中路</w:t>
            </w:r>
            <w:r>
              <w:rPr>
                <w:rFonts w:hint="eastAsia" w:ascii="宋体" w:hAnsi="宋体" w:cs="Arial"/>
                <w:color w:val="auto"/>
                <w:spacing w:val="-6"/>
                <w:sz w:val="21"/>
                <w:szCs w:val="21"/>
                <w:lang w:val="en-US" w:eastAsia="zh-CN"/>
              </w:rPr>
              <w:t>6</w:t>
            </w:r>
            <w:r>
              <w:rPr>
                <w:rFonts w:hint="eastAsia" w:ascii="宋体" w:hAnsi="宋体" w:eastAsia="宋体" w:cs="Arial"/>
                <w:color w:val="auto"/>
                <w:spacing w:val="-6"/>
                <w:sz w:val="21"/>
                <w:szCs w:val="21"/>
                <w:lang w:eastAsia="zh-CN"/>
              </w:rPr>
              <w:t>号</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lang w:val="en-US" w:eastAsia="zh-CN"/>
              </w:rPr>
            </w:pPr>
            <w:r>
              <w:rPr>
                <w:rFonts w:hint="eastAsia" w:ascii="宋体" w:hAnsi="宋体" w:cs="Arial"/>
                <w:color w:val="auto"/>
                <w:spacing w:val="-6"/>
                <w:sz w:val="21"/>
                <w:szCs w:val="21"/>
                <w:lang w:val="en-US" w:eastAsia="zh-CN"/>
              </w:rPr>
              <w:t>生产经营地址：江西省樟树市盐城大道锦绣江南19-25。</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主要经营范围包括</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lang w:eastAsia="zh-CN"/>
              </w:rPr>
              <w:t>智慧档案馆系统设备、智慧图书馆系统设备、智慧校园系统设备、库房安全环境控制系统设备、库房温、湿度控制系统、警用装备（国家限制性除外）、钾能型枪弹柜、枪弹柜管理系统、智能物证、涉案财物管理系统、身份证自助设备、安防设备、消防设备、射击器械及器材（枪支、弩等国家限制射击器械及器材除外）、环保设备、实验室设备、实验室系统工程、办公设备、医疗设备、教育设备、档案管理设备、智能型密集架、，书架、货架、金库门、银行尾款库（柜）、军用制式营具、金属设备设计、制造、销售、服务及进出口经营权：靶场设备设计、生产、销售、研发；安全技术防范工程设计、施工：建筑机电安装工程：电子产品销售：计算机信息系统集成；计算机软、硬件产品研发、技术转让、技术咨询、技术服务。（依法须经批准的项目，经相关部门批准后方可开展经营活动）</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default"/>
                <w:lang w:val="en-US" w:eastAsia="zh-CN"/>
              </w:rPr>
            </w:pPr>
            <w:r>
              <w:rPr>
                <w:rFonts w:hint="eastAsia" w:ascii="宋体" w:hAnsi="宋体" w:cs="Arial"/>
                <w:color w:val="auto"/>
                <w:spacing w:val="-6"/>
                <w:sz w:val="21"/>
                <w:szCs w:val="21"/>
                <w:lang w:val="en-US" w:eastAsia="zh-CN"/>
              </w:rPr>
              <w:t>经营范围覆盖了体系认证范围。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经营面积</w:t>
            </w:r>
            <w:r>
              <w:rPr>
                <w:rFonts w:hint="eastAsia" w:ascii="宋体" w:hAnsi="宋体" w:cs="Arial"/>
                <w:color w:val="auto"/>
                <w:spacing w:val="-6"/>
                <w:sz w:val="21"/>
                <w:szCs w:val="21"/>
                <w:lang w:val="en-US" w:eastAsia="zh-CN"/>
              </w:rPr>
              <w:t>6</w:t>
            </w:r>
            <w:r>
              <w:rPr>
                <w:rFonts w:hint="eastAsia" w:ascii="宋体" w:hAnsi="宋体" w:eastAsia="宋体" w:cs="Arial"/>
                <w:color w:val="auto"/>
                <w:spacing w:val="-6"/>
                <w:sz w:val="21"/>
                <w:szCs w:val="21"/>
                <w:lang w:eastAsia="zh-CN"/>
              </w:rPr>
              <w:t>00㎡，公司人员共1</w:t>
            </w:r>
            <w:r>
              <w:rPr>
                <w:rFonts w:hint="eastAsia" w:ascii="宋体" w:hAnsi="宋体" w:cs="Arial"/>
                <w:color w:val="auto"/>
                <w:spacing w:val="-6"/>
                <w:sz w:val="21"/>
                <w:szCs w:val="21"/>
                <w:lang w:val="en-US" w:eastAsia="zh-CN"/>
              </w:rPr>
              <w:t>0</w:t>
            </w:r>
            <w:r>
              <w:rPr>
                <w:rFonts w:hint="eastAsia" w:ascii="宋体" w:hAnsi="宋体" w:eastAsia="宋体" w:cs="Arial"/>
                <w:color w:val="auto"/>
                <w:spacing w:val="-6"/>
                <w:sz w:val="21"/>
                <w:szCs w:val="21"/>
                <w:lang w:eastAsia="zh-CN"/>
              </w:rPr>
              <w:t>人，配有销售人员、办公人员</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办公设备有办公桌、文件柜、复印机、电脑、打印机等。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公司组织机构设置为：管理层、行政部、供销部；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外部因素——国家政策变化、客户需求的变化、新技术的运用等；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内部因素有-公司文化、内部管理机制的建立、人员稳定性、员工技术能力等；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rPr>
            </w:pPr>
            <w:r>
              <w:rPr>
                <w:rFonts w:hint="eastAsia" w:ascii="宋体" w:hAnsi="宋体" w:eastAsia="宋体" w:cs="Arial"/>
                <w:color w:val="auto"/>
                <w:spacing w:val="-6"/>
                <w:sz w:val="21"/>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理解相关方的需求和期望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004" w:type="dxa"/>
          </w:tcPr>
          <w:p>
            <w:pPr>
              <w:spacing w:line="360" w:lineRule="auto"/>
              <w:ind w:firstLine="420" w:firstLineChars="200"/>
              <w:rPr>
                <w:rFonts w:hint="eastAsia"/>
                <w:color w:val="auto"/>
                <w:lang w:val="en-US" w:eastAsia="zh-CN"/>
              </w:rPr>
            </w:pPr>
            <w:r>
              <w:rPr>
                <w:rFonts w:hint="eastAsia"/>
                <w:color w:val="auto"/>
                <w:lang w:val="en-US" w:eastAsia="zh-CN"/>
              </w:rPr>
              <w:t>公司确定了与质量、环境、职业健康安全管理体系有关的相关方包括顾客/最终消费者、员工、政府、外部供方、竞争对手、社会、相邻单位；</w:t>
            </w:r>
          </w:p>
          <w:p>
            <w:pPr>
              <w:spacing w:line="360" w:lineRule="auto"/>
              <w:ind w:firstLine="420" w:firstLineChars="200"/>
              <w:rPr>
                <w:rFonts w:hint="eastAsia"/>
                <w:color w:val="auto"/>
                <w:lang w:val="en-US" w:eastAsia="zh-CN"/>
              </w:rPr>
            </w:pPr>
            <w:r>
              <w:rPr>
                <w:rFonts w:hint="eastAsia"/>
                <w:color w:val="auto"/>
                <w:lang w:val="en-US" w:eastAsia="zh-CN"/>
              </w:rPr>
              <w:t>相关方期望或要求识别表中明确了相关方的需求，以及监视和测量、采取应对措施等要求；</w:t>
            </w:r>
          </w:p>
          <w:p>
            <w:pPr>
              <w:spacing w:line="360" w:lineRule="auto"/>
              <w:ind w:firstLine="420" w:firstLineChars="200"/>
              <w:rPr>
                <w:rFonts w:hint="default" w:eastAsia="宋体"/>
                <w:lang w:val="en-US" w:eastAsia="zh-CN"/>
              </w:rPr>
            </w:pPr>
            <w:r>
              <w:rPr>
                <w:rFonts w:hint="eastAsia"/>
                <w:color w:val="auto"/>
                <w:lang w:val="en-US" w:eastAsia="zh-CN"/>
              </w:rPr>
              <w:t>基本符合。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default" w:ascii="宋体" w:hAnsi="宋体" w:eastAsia="宋体" w:cs="Arial"/>
                <w:spacing w:val="-6"/>
                <w:sz w:val="21"/>
                <w:szCs w:val="21"/>
                <w:lang w:val="en-US" w:eastAsia="zh-CN"/>
              </w:rPr>
              <w:t>变更的策划</w:t>
            </w:r>
          </w:p>
        </w:tc>
        <w:tc>
          <w:tcPr>
            <w:tcW w:w="1175" w:type="dxa"/>
            <w:vAlign w:val="top"/>
          </w:tcPr>
          <w:p>
            <w:pPr>
              <w:adjustRightInd w:val="0"/>
              <w:snapToGrid w:val="0"/>
              <w:spacing w:line="360" w:lineRule="auto"/>
              <w:ind w:right="105" w:rightChars="50"/>
              <w:jc w:val="center"/>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6.3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基于对4.1和4.2的考虑，分析了公司存在的风险和机遇：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存在的机遇：公司持续运营多年，积累了良好的信誉和相关方业务关系基础，人员的稳定性和能力，给公司的发展带来了机遇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存在的风险：行业进入门槛低导致竞争对手多、国家政策的变化导致更多的业务通过招投标进行面临的低价中标等</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重要环境因素：</w:t>
            </w:r>
            <w:r>
              <w:rPr>
                <w:rFonts w:hint="eastAsia" w:ascii="宋体" w:hAnsi="宋体" w:cs="Arial"/>
                <w:color w:val="auto"/>
                <w:spacing w:val="-6"/>
                <w:sz w:val="21"/>
                <w:szCs w:val="21"/>
              </w:rPr>
              <w:t>潜在火灾、能源消耗、固废排放</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控制措施：一般固废集中收集外售至废品回收站；危废</w:t>
            </w:r>
            <w:r>
              <w:rPr>
                <w:rFonts w:hint="eastAsia" w:ascii="宋体" w:hAnsi="宋体" w:cs="Arial"/>
                <w:color w:val="auto"/>
                <w:spacing w:val="-6"/>
                <w:sz w:val="21"/>
                <w:szCs w:val="21"/>
                <w:lang w:val="en-US" w:eastAsia="zh-CN"/>
              </w:rPr>
              <w:t>以旧换新由供应商</w:t>
            </w:r>
            <w:r>
              <w:rPr>
                <w:rFonts w:hint="eastAsia" w:ascii="宋体" w:hAnsi="宋体" w:cs="Arial"/>
                <w:color w:val="auto"/>
                <w:spacing w:val="-6"/>
                <w:sz w:val="21"/>
                <w:szCs w:val="21"/>
              </w:rPr>
              <w:t>回收；提高安全意识；做好火灾预防措施。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制定目标、指标和管理方案。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不可接受风险：触电伤害、潜在火灾、交通意外伤害；</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控制措施：制定目标、指标和管理方案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提高交通安全意识；做好火灾预防措施。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w:t>
            </w:r>
          </w:p>
          <w:p>
            <w:pPr>
              <w:spacing w:line="360" w:lineRule="auto"/>
              <w:ind w:firstLine="420" w:firstLineChars="200"/>
              <w:rPr>
                <w:rFonts w:hint="eastAsia"/>
                <w:szCs w:val="22"/>
                <w:lang w:val="en-US" w:eastAsia="zh-CN"/>
              </w:rPr>
            </w:pPr>
            <w:r>
              <w:rPr>
                <w:rFonts w:hint="eastAsia"/>
                <w:szCs w:val="22"/>
                <w:lang w:val="en-US" w:eastAsia="zh-CN"/>
              </w:rPr>
              <w:t>为应对上述的风险和机遇，公司依据ISO9001：2015、ISO14001：2015、ISO45001：2018标准的要求并结合本公司的具体情况，采取PDCA的过程方法，建立、实施、保持并持续改进质量、环境、职业健康安全管理体系。</w:t>
            </w:r>
          </w:p>
          <w:p>
            <w:pPr>
              <w:spacing w:line="360" w:lineRule="auto"/>
              <w:ind w:firstLine="420" w:firstLineChars="200"/>
              <w:rPr>
                <w:rFonts w:hint="eastAsia"/>
                <w:szCs w:val="22"/>
                <w:lang w:val="en-US" w:eastAsia="zh-CN"/>
              </w:rPr>
            </w:pPr>
            <w:r>
              <w:rPr>
                <w:rFonts w:hint="eastAsia"/>
                <w:szCs w:val="22"/>
                <w:lang w:val="en-US" w:eastAsia="zh-CN"/>
              </w:rPr>
              <w:t>保持《管理手册》B/0版，于2021年05月10日实施，</w:t>
            </w:r>
            <w:r>
              <w:rPr>
                <w:rFonts w:hint="eastAsia" w:ascii="宋体" w:hAnsi="宋体" w:cs="Arial"/>
                <w:color w:val="auto"/>
                <w:spacing w:val="-6"/>
                <w:sz w:val="21"/>
                <w:szCs w:val="21"/>
                <w:highlight w:val="yellow"/>
                <w:lang w:val="en-US" w:eastAsia="zh-CN"/>
              </w:rPr>
              <w:t>扩大认证范围后予以变更，增加了智慧档案馆、智能密集架、智慧图书馆、库房一体化控制系统、激光模拟训练系统、实弹模拟训练系统的销售</w:t>
            </w:r>
            <w:r>
              <w:rPr>
                <w:rFonts w:hint="eastAsia" w:ascii="宋体" w:hAnsi="宋体" w:cs="Arial"/>
                <w:color w:val="auto"/>
                <w:spacing w:val="-6"/>
                <w:sz w:val="21"/>
                <w:szCs w:val="21"/>
                <w:highlight w:val="yellow"/>
                <w:lang w:eastAsia="zh-CN"/>
              </w:rPr>
              <w:t>；</w:t>
            </w:r>
          </w:p>
          <w:p>
            <w:pPr>
              <w:spacing w:line="360" w:lineRule="auto"/>
              <w:ind w:firstLine="420" w:firstLineChars="200"/>
              <w:rPr>
                <w:rFonts w:hint="eastAsia"/>
                <w:lang w:val="en-US" w:eastAsia="zh-CN"/>
              </w:rPr>
            </w:pPr>
            <w:r>
              <w:rPr>
                <w:rFonts w:hint="eastAsia"/>
                <w:lang w:val="en-US" w:eastAsia="zh-CN"/>
              </w:rPr>
              <w:t>程序文件——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spacing w:line="360" w:lineRule="auto"/>
              <w:ind w:firstLine="420" w:firstLineChars="200"/>
              <w:rPr>
                <w:rFonts w:hint="default"/>
                <w:lang w:val="en-US" w:eastAsia="zh-CN"/>
              </w:rPr>
            </w:pPr>
            <w:r>
              <w:rPr>
                <w:rFonts w:hint="eastAsia"/>
                <w:lang w:val="en-US" w:eastAsia="zh-CN"/>
              </w:rPr>
              <w:t>管理文件——固废管理制度、合同管理制度、售后服务管理制度、投标管理制度、销售人员礼仪规范制度、安全组织措施制度等10余个；</w:t>
            </w:r>
          </w:p>
          <w:p>
            <w:pPr>
              <w:spacing w:line="360" w:lineRule="auto"/>
              <w:ind w:firstLine="420" w:firstLineChars="200"/>
              <w:rPr>
                <w:rFonts w:hint="default"/>
                <w:lang w:val="en-US" w:eastAsia="zh-CN"/>
              </w:rPr>
            </w:pPr>
            <w:r>
              <w:rPr>
                <w:rFonts w:hint="eastAsia"/>
                <w:lang w:val="en-US" w:eastAsia="zh-CN"/>
              </w:rPr>
              <w:t>建立有外来文件清单，收集中华人民共和国产品质量法、中华人民共和国环境保护法、中华人民共和国消防法以及公安、警用器械相关标准和法律等22个；</w:t>
            </w:r>
          </w:p>
          <w:p>
            <w:pPr>
              <w:spacing w:line="360" w:lineRule="auto"/>
              <w:ind w:firstLine="420" w:firstLineChars="200"/>
              <w:rPr>
                <w:rFonts w:hint="eastAsia"/>
                <w:lang w:val="en-US" w:eastAsia="zh-CN"/>
              </w:rPr>
            </w:pPr>
            <w:r>
              <w:rPr>
                <w:rFonts w:hint="eastAsia"/>
                <w:lang w:val="en-US" w:eastAsia="zh-CN"/>
              </w:rPr>
              <w:t>建立环境、职业健康安全法律法规和其他要求清单，共110个。</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本公司识别并确定了如下分工及过程：采购过程、销售过程、检验与交付过程、绩效分析、评价与改进等多个过程。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过程：</w:t>
            </w:r>
          </w:p>
          <w:p>
            <w:pPr>
              <w:adjustRightInd w:val="0"/>
              <w:snapToGrid w:val="0"/>
              <w:spacing w:line="360" w:lineRule="auto"/>
              <w:ind w:right="105" w:rightChars="50" w:firstLine="398" w:firstLineChars="200"/>
              <w:textAlignment w:val="baseline"/>
              <w:rPr>
                <w:rFonts w:hint="eastAsia" w:ascii="宋体" w:hAnsi="宋体" w:cs="Arial"/>
                <w:b/>
                <w:bCs/>
                <w:color w:val="auto"/>
                <w:spacing w:val="-6"/>
                <w:sz w:val="21"/>
                <w:szCs w:val="21"/>
                <w:lang w:val="en-US" w:eastAsia="zh-CN"/>
              </w:rPr>
            </w:pPr>
            <w:r>
              <w:rPr>
                <w:rFonts w:hint="eastAsia" w:ascii="宋体" w:hAnsi="宋体" w:cs="Arial"/>
                <w:b/>
                <w:bCs/>
                <w:color w:val="auto"/>
                <w:spacing w:val="-6"/>
                <w:sz w:val="21"/>
                <w:szCs w:val="21"/>
                <w:lang w:val="en-US" w:eastAsia="zh-CN"/>
              </w:rPr>
              <w:t>产品要求信息获取----产品要求评审-----签订合同----采购 -----质检------销售</w:t>
            </w:r>
          </w:p>
          <w:p>
            <w:pPr>
              <w:pStyle w:val="2"/>
              <w:spacing w:line="360" w:lineRule="auto"/>
              <w:ind w:firstLine="398" w:firstLineChars="200"/>
              <w:rPr>
                <w:rFonts w:hint="default"/>
                <w:lang w:val="en-US"/>
              </w:rPr>
            </w:pPr>
            <w:r>
              <w:rPr>
                <w:rFonts w:hint="eastAsia" w:ascii="宋体" w:hAnsi="宋体" w:cs="Arial"/>
                <w:b/>
                <w:bCs/>
                <w:color w:val="auto"/>
                <w:spacing w:val="-6"/>
                <w:sz w:val="21"/>
                <w:szCs w:val="21"/>
                <w:lang w:val="en-US" w:eastAsia="zh-CN"/>
              </w:rPr>
              <w:t>需确认的过程为销售服务提供过程。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管理手册中</w:t>
            </w:r>
            <w:r>
              <w:rPr>
                <w:rFonts w:hint="eastAsia" w:ascii="宋体" w:hAnsi="宋体" w:cs="Arial"/>
                <w:color w:val="auto"/>
                <w:spacing w:val="-6"/>
                <w:sz w:val="21"/>
                <w:szCs w:val="21"/>
                <w:lang w:val="en-US" w:eastAsia="zh-CN"/>
              </w:rPr>
              <w:t>确定</w:t>
            </w:r>
            <w:r>
              <w:rPr>
                <w:rFonts w:hint="eastAsia" w:ascii="宋体" w:hAnsi="宋体" w:cs="Arial"/>
                <w:color w:val="auto"/>
                <w:spacing w:val="-6"/>
                <w:sz w:val="21"/>
                <w:szCs w:val="21"/>
              </w:rPr>
              <w:t>的认证范围：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rFonts w:hint="eastAsia" w:ascii="宋体" w:hAnsi="宋体" w:cs="Arial"/>
                <w:color w:val="FF0000"/>
                <w:spacing w:val="-6"/>
                <w:sz w:val="21"/>
                <w:szCs w:val="21"/>
                <w:lang w:val="en-US" w:eastAsia="zh-CN"/>
              </w:rPr>
              <w:t>智慧档案馆、智能密集架、智慧图书馆、库房一体化控制系统、激光模拟训练系统、实弹模拟训练系统</w:t>
            </w:r>
            <w:r>
              <w:rPr>
                <w:rFonts w:hint="eastAsia" w:ascii="宋体" w:hAnsi="宋体" w:cs="Arial"/>
                <w:color w:val="auto"/>
                <w:spacing w:val="-6"/>
                <w:sz w:val="21"/>
                <w:szCs w:val="21"/>
                <w:lang w:val="en-US" w:eastAsia="zh-CN"/>
              </w:rPr>
              <w:t>的销售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rFonts w:hint="eastAsia" w:ascii="宋体" w:hAnsi="宋体" w:cs="Arial"/>
                <w:color w:val="FF0000"/>
                <w:spacing w:val="-6"/>
                <w:sz w:val="21"/>
                <w:szCs w:val="21"/>
                <w:lang w:val="en-US" w:eastAsia="zh-CN"/>
              </w:rPr>
              <w:t>智慧档案馆、智能密集架、智慧图书馆、库房一体化控制系统、激光模拟训练系统、实弹模拟训练系统</w:t>
            </w:r>
            <w:r>
              <w:rPr>
                <w:rFonts w:hint="eastAsia" w:ascii="宋体" w:hAnsi="宋体" w:cs="Arial"/>
                <w:color w:val="auto"/>
                <w:spacing w:val="-6"/>
                <w:sz w:val="21"/>
                <w:szCs w:val="21"/>
                <w:lang w:val="en-US" w:eastAsia="zh-CN"/>
              </w:rPr>
              <w:t>的销售所涉及的相关环境管理活动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O：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rFonts w:hint="eastAsia" w:ascii="宋体" w:hAnsi="宋体" w:cs="Arial"/>
                <w:color w:val="FF0000"/>
                <w:spacing w:val="-6"/>
                <w:sz w:val="21"/>
                <w:szCs w:val="21"/>
                <w:lang w:val="en-US" w:eastAsia="zh-CN"/>
              </w:rPr>
              <w:t>智慧档案馆、智能密集架、智慧图书馆、库房一体化控制系统、激光模拟训练系统、实弹模拟训练系统</w:t>
            </w:r>
            <w:r>
              <w:rPr>
                <w:rFonts w:hint="eastAsia" w:ascii="宋体" w:hAnsi="宋体" w:cs="Arial"/>
                <w:color w:val="auto"/>
                <w:spacing w:val="-6"/>
                <w:sz w:val="21"/>
                <w:szCs w:val="21"/>
                <w:lang w:val="en-US" w:eastAsia="zh-CN"/>
              </w:rPr>
              <w:t>的销售所涉及的职业健康安全管理体系相关活动。</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Q:8.3条款删减。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智慧档案馆、智能密集架、智慧图书馆、库房一体化控制系统、激光模拟训练系统、实弹模拟训练系统的销售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9001:2015标准中8.3条款内容，其不适用的要求不影响公司确保其产品和服务合格的能力和责任，对增强顾客满意也不会产生影响。删减基本合理。</w:t>
            </w:r>
            <w:bookmarkStart w:id="0" w:name="_GoBack"/>
            <w:bookmarkEnd w:id="0"/>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管理体系</w:t>
            </w:r>
            <w:r>
              <w:rPr>
                <w:rFonts w:hint="eastAsia" w:ascii="宋体" w:hAnsi="宋体" w:cs="Arial"/>
                <w:color w:val="auto"/>
                <w:spacing w:val="-6"/>
                <w:sz w:val="21"/>
                <w:szCs w:val="21"/>
                <w:lang w:val="en-US" w:eastAsia="zh-CN"/>
              </w:rPr>
              <w:t>本审核周期</w:t>
            </w:r>
            <w:r>
              <w:rPr>
                <w:rFonts w:hint="eastAsia" w:ascii="宋体" w:hAnsi="宋体" w:cs="Arial"/>
                <w:color w:val="auto"/>
                <w:spacing w:val="-6"/>
                <w:sz w:val="21"/>
                <w:szCs w:val="21"/>
                <w:highlight w:val="yellow"/>
                <w:lang w:val="en-US" w:eastAsia="zh-CN"/>
              </w:rPr>
              <w:t>扩大认证范围，增加了智慧档案馆、智能密集架、智慧图书馆、库房一体化控制系统、激光模拟训练系统、实弹模拟训练系统的销售及所涉及的环境和职业健康安全管理活动</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color w:val="auto"/>
              </w:rPr>
            </w:pPr>
            <w:r>
              <w:rPr>
                <w:rFonts w:hint="eastAsia" w:ascii="宋体" w:hAnsi="宋体" w:cs="Arial"/>
                <w:color w:val="auto"/>
                <w:spacing w:val="-6"/>
                <w:sz w:val="21"/>
                <w:szCs w:val="21"/>
              </w:rPr>
              <w:t>基本合理。</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质量/环境/职业健康安全目标及其实现的策划</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004" w:type="dxa"/>
          </w:tcPr>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《管理手册》中明确了公司的质量、环境、职业健康安全方针是：</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1.质量环境职业健康安全方针：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质量至上、持续创新、诚实守信、顾客至上</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预防为主，降低风险；遵章守法，创造和谐</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方针适宜于公司现状，在管理手册中明确，通过文件发放，是员工获知，适用时提供给相关方。</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以方针为框架，建立了公司管理目标：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2.管理目标：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质量目标：1、交货及时率≥95%；</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         </w:t>
            </w:r>
            <w:r>
              <w:rPr>
                <w:rFonts w:hint="eastAsia" w:cs="Times New Roman"/>
                <w:color w:val="auto"/>
                <w:szCs w:val="22"/>
                <w:lang w:val="en-US" w:eastAsia="zh-CN"/>
              </w:rPr>
              <w:t xml:space="preserve"> </w:t>
            </w:r>
            <w:r>
              <w:rPr>
                <w:rFonts w:hint="eastAsia" w:ascii="Times New Roman" w:hAnsi="Times New Roman" w:eastAsia="宋体" w:cs="Times New Roman"/>
                <w:color w:val="auto"/>
                <w:szCs w:val="22"/>
              </w:rPr>
              <w:t>2、顾客满意度≥92分；</w:t>
            </w:r>
          </w:p>
          <w:p>
            <w:pPr>
              <w:pStyle w:val="2"/>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环境目标：</w:t>
            </w:r>
          </w:p>
          <w:p>
            <w:pPr>
              <w:pStyle w:val="2"/>
              <w:spacing w:line="360" w:lineRule="auto"/>
              <w:ind w:firstLine="420" w:firstLineChars="2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固体废弃物分类处理率100%；火灾事故为0</w:t>
            </w:r>
            <w:r>
              <w:rPr>
                <w:rFonts w:hint="eastAsia" w:cs="Times New Roman"/>
                <w:color w:val="auto"/>
                <w:szCs w:val="22"/>
                <w:lang w:eastAsia="zh-CN"/>
              </w:rPr>
              <w:t>。</w:t>
            </w:r>
          </w:p>
          <w:p>
            <w:pPr>
              <w:pStyle w:val="2"/>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职业健康安全目标：</w:t>
            </w:r>
          </w:p>
          <w:p>
            <w:pPr>
              <w:pStyle w:val="2"/>
              <w:spacing w:line="360" w:lineRule="auto"/>
              <w:ind w:firstLine="420" w:firstLineChars="2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火灾事故为0；交通意外伤害为零</w:t>
            </w:r>
            <w:r>
              <w:rPr>
                <w:rFonts w:hint="eastAsia" w:cs="Times New Roman"/>
                <w:color w:val="auto"/>
                <w:szCs w:val="22"/>
                <w:lang w:eastAsia="zh-CN"/>
              </w:rPr>
              <w:t>。</w:t>
            </w:r>
          </w:p>
          <w:p>
            <w:pPr>
              <w:pStyle w:val="2"/>
              <w:spacing w:line="360" w:lineRule="auto"/>
              <w:ind w:firstLine="420" w:firstLineChars="200"/>
              <w:rPr>
                <w:rFonts w:hint="default" w:eastAsia="宋体"/>
                <w:lang w:val="en-US" w:eastAsia="zh-CN"/>
              </w:rPr>
            </w:pPr>
            <w:r>
              <w:rPr>
                <w:rFonts w:hint="eastAsia" w:cs="Times New Roman"/>
                <w:color w:val="auto"/>
                <w:szCs w:val="22"/>
                <w:lang w:val="en-US" w:eastAsia="zh-CN"/>
              </w:rPr>
              <w:t>策划了本公司的环境和安全管理方案和控制措施。</w:t>
            </w:r>
          </w:p>
          <w:p>
            <w:pPr>
              <w:spacing w:line="360" w:lineRule="auto"/>
              <w:ind w:firstLine="396" w:firstLineChars="200"/>
              <w:rPr>
                <w:rFonts w:hint="eastAsia"/>
                <w:color w:val="auto"/>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目标分解考核表</w:t>
            </w:r>
            <w:r>
              <w:rPr>
                <w:rFonts w:hint="eastAsia" w:ascii="宋体" w:hAnsi="宋体" w:cs="Arial"/>
                <w:color w:val="auto"/>
                <w:spacing w:val="-6"/>
                <w:sz w:val="21"/>
                <w:szCs w:val="21"/>
                <w:lang w:val="en-US" w:eastAsia="zh-CN"/>
              </w:rPr>
              <w:t>”，2021.5，显示按照部门对目标进行了分解，考核结果显示</w:t>
            </w:r>
            <w:r>
              <w:rPr>
                <w:rFonts w:hint="default" w:ascii="宋体" w:hAnsi="宋体" w:cs="Arial"/>
                <w:color w:val="auto"/>
                <w:spacing w:val="-6"/>
                <w:sz w:val="21"/>
                <w:szCs w:val="21"/>
                <w:lang w:val="en-US" w:eastAsia="zh-CN"/>
              </w:rPr>
              <w:t>所有目标均已完成。</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组织的岗位、职责和权限</w:t>
            </w:r>
          </w:p>
        </w:tc>
        <w:tc>
          <w:tcPr>
            <w:tcW w:w="1175"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5.3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w:t>
            </w:r>
            <w:r>
              <w:rPr>
                <w:rFonts w:hint="eastAsia" w:ascii="宋体" w:hAnsi="宋体" w:cs="Arial"/>
                <w:color w:val="auto"/>
                <w:spacing w:val="-6"/>
                <w:sz w:val="21"/>
                <w:szCs w:val="21"/>
                <w:lang w:val="en-US" w:eastAsia="zh-CN"/>
              </w:rPr>
              <w:t>公司</w:t>
            </w:r>
            <w:r>
              <w:rPr>
                <w:rFonts w:hint="eastAsia" w:ascii="宋体" w:hAnsi="宋体" w:cs="Arial"/>
                <w:color w:val="auto"/>
                <w:spacing w:val="-6"/>
                <w:sz w:val="21"/>
                <w:szCs w:val="21"/>
              </w:rPr>
              <w:t>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公司组织机构设置为：管理层、行政部、供销部；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adjustRightInd w:val="0"/>
              <w:snapToGrid w:val="0"/>
              <w:spacing w:line="360" w:lineRule="auto"/>
              <w:ind w:right="105" w:rightChars="50" w:firstLine="396" w:firstLineChars="200"/>
              <w:textAlignment w:val="baseline"/>
              <w:rPr>
                <w:color w:val="auto"/>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资源</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公司注册资金5188.8万元；</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注册地址：江西省宜春市樟树市观上镇观中路6号；</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生产经营地址：生产经营地址：江西省樟树市盐城大道锦绣江南19-25。</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经营面积约为600平方米；</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公司人员共10人，配有销售人员、办公人员，办公设备有办公桌、文件柜、复印机、电脑、打印机等；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确认公司目前人力资源、基础设施、销售人员、财力、信息等资源均能保证。公司</w:t>
            </w:r>
            <w:r>
              <w:rPr>
                <w:rFonts w:hint="eastAsia" w:ascii="宋体" w:hAnsi="宋体" w:cs="Arial"/>
                <w:color w:val="auto"/>
                <w:spacing w:val="-6"/>
                <w:sz w:val="21"/>
                <w:szCs w:val="21"/>
                <w:lang w:val="en-US" w:eastAsia="zh-CN"/>
              </w:rPr>
              <w:t>办公区域</w:t>
            </w:r>
            <w:r>
              <w:rPr>
                <w:rFonts w:hint="default" w:ascii="宋体" w:hAnsi="宋体" w:cs="Arial"/>
                <w:color w:val="auto"/>
                <w:spacing w:val="-6"/>
                <w:sz w:val="21"/>
                <w:szCs w:val="21"/>
                <w:lang w:val="en-US" w:eastAsia="zh-CN"/>
              </w:rPr>
              <w:t>现场配备了</w:t>
            </w:r>
            <w:r>
              <w:rPr>
                <w:rFonts w:hint="eastAsia" w:ascii="宋体" w:hAnsi="宋体" w:cs="Arial"/>
                <w:color w:val="auto"/>
                <w:spacing w:val="-6"/>
                <w:sz w:val="21"/>
                <w:szCs w:val="21"/>
                <w:lang w:val="en-US" w:eastAsia="zh-CN"/>
              </w:rPr>
              <w:t>灭火器</w:t>
            </w:r>
            <w:r>
              <w:rPr>
                <w:rFonts w:hint="default" w:ascii="宋体" w:hAnsi="宋体" w:cs="Arial"/>
                <w:color w:val="auto"/>
                <w:spacing w:val="-6"/>
                <w:sz w:val="21"/>
                <w:szCs w:val="21"/>
                <w:lang w:val="en-US" w:eastAsia="zh-CN"/>
              </w:rPr>
              <w:t>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eastAsia="宋体"/>
                <w:color w:val="auto"/>
                <w:lang w:val="en-US" w:eastAsia="zh-CN"/>
              </w:rPr>
            </w:pPr>
            <w:r>
              <w:rPr>
                <w:rFonts w:hint="default" w:ascii="宋体" w:hAnsi="宋体" w:cs="Arial"/>
                <w:color w:val="auto"/>
                <w:spacing w:val="-6"/>
                <w:sz w:val="21"/>
                <w:szCs w:val="21"/>
                <w:lang w:val="en-US" w:eastAsia="zh-CN"/>
              </w:rPr>
              <w:t>基本能满足体系运行的要求。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协商与参与</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O:5.4</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组织在各部门之间建立了与体系有关的信息通渠沟道，借助于会议、电话、微信、网络、信息系统、口头交流等方式使全体员工达到沟通和理解。目前各部门协调一致，工作上的接口基本理顺。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总经理主持经营例会，分析公司的发展、市场情况和体系运行是否有效，管理目标完成情况，满足顾客要求和法规程度，改进建议等内部管理存在问题等。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u w:val="single"/>
                <w:lang w:val="en-US" w:eastAsia="zh-CN"/>
              </w:rPr>
              <w:t>陈小忠</w:t>
            </w:r>
            <w:r>
              <w:rPr>
                <w:rFonts w:hint="eastAsia" w:ascii="宋体" w:hAnsi="宋体" w:eastAsia="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a）负责</w:t>
            </w:r>
            <w:r>
              <w:rPr>
                <w:rFonts w:hint="eastAsia" w:ascii="宋体" w:hAnsi="宋体" w:cs="Arial"/>
                <w:color w:val="auto"/>
                <w:spacing w:val="-6"/>
                <w:sz w:val="21"/>
                <w:szCs w:val="21"/>
                <w:highlight w:val="none"/>
                <w:lang w:val="en-US" w:eastAsia="zh-CN"/>
              </w:rPr>
              <w:t>员工职业健康安全</w:t>
            </w:r>
            <w:r>
              <w:rPr>
                <w:rFonts w:hint="eastAsia" w:ascii="宋体" w:hAnsi="宋体" w:eastAsia="宋体" w:cs="Arial"/>
                <w:color w:val="auto"/>
                <w:spacing w:val="-6"/>
                <w:sz w:val="21"/>
                <w:szCs w:val="21"/>
                <w:highlight w:val="none"/>
                <w:lang w:val="en-US" w:eastAsia="zh-CN"/>
              </w:rPr>
              <w:t>日常工作；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c）接收、处理外部职业健康安全信息；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d）交流各级职能部门间产生的职业健康安全信息；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e）收集、处理和反馈员工所关心的职业健康安全问题；</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f）参与职业健康安全工作方针和程序的制定、评审和实施；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g）参与影响作业场所人员职业健康安全的任何变化的讨论。</w:t>
            </w:r>
          </w:p>
          <w:p>
            <w:pPr>
              <w:adjustRightInd w:val="0"/>
              <w:snapToGrid w:val="0"/>
              <w:spacing w:line="360" w:lineRule="auto"/>
              <w:ind w:right="105" w:rightChars="50" w:firstLine="396" w:firstLineChars="200"/>
              <w:textAlignment w:val="baseline"/>
              <w:rPr>
                <w:color w:val="auto"/>
              </w:rPr>
            </w:pPr>
            <w:r>
              <w:rPr>
                <w:rFonts w:hint="eastAsia" w:ascii="宋体" w:hAnsi="宋体" w:eastAsia="宋体" w:cs="Arial"/>
                <w:color w:val="auto"/>
                <w:spacing w:val="-6"/>
                <w:sz w:val="21"/>
                <w:szCs w:val="21"/>
                <w:highlight w:val="none"/>
                <w:lang w:val="en-US" w:eastAsia="zh-CN"/>
              </w:rPr>
              <w:t>现有的沟通渠道和方法能满足要求。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管理评审</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004" w:type="dxa"/>
          </w:tcPr>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2021年4月</w:t>
            </w:r>
            <w:r>
              <w:rPr>
                <w:rFonts w:hint="eastAsia" w:ascii="宋体" w:hAnsi="宋体" w:cs="Arial"/>
                <w:color w:val="auto"/>
                <w:spacing w:val="-6"/>
                <w:sz w:val="21"/>
                <w:szCs w:val="21"/>
                <w:highlight w:val="none"/>
                <w:lang w:val="en-US" w:eastAsia="zh-CN"/>
              </w:rPr>
              <w:t>2</w:t>
            </w:r>
            <w:r>
              <w:rPr>
                <w:rFonts w:hint="eastAsia" w:ascii="宋体" w:hAnsi="宋体" w:eastAsia="宋体" w:cs="Arial"/>
                <w:color w:val="auto"/>
                <w:spacing w:val="-6"/>
                <w:sz w:val="21"/>
                <w:szCs w:val="21"/>
                <w:highlight w:val="none"/>
                <w:lang w:val="en-US" w:eastAsia="zh-CN"/>
              </w:rPr>
              <w:t>0日在公司会议室由</w:t>
            </w:r>
            <w:r>
              <w:rPr>
                <w:rFonts w:hint="eastAsia" w:ascii="宋体" w:hAnsi="宋体" w:cs="Arial"/>
                <w:color w:val="auto"/>
                <w:spacing w:val="-6"/>
                <w:sz w:val="21"/>
                <w:szCs w:val="21"/>
                <w:highlight w:val="none"/>
                <w:lang w:val="en-US" w:eastAsia="zh-CN"/>
              </w:rPr>
              <w:t>聂林</w:t>
            </w:r>
            <w:r>
              <w:rPr>
                <w:rFonts w:hint="eastAsia" w:ascii="宋体" w:hAnsi="宋体" w:eastAsia="宋体" w:cs="Arial"/>
                <w:color w:val="auto"/>
                <w:spacing w:val="-6"/>
                <w:sz w:val="21"/>
                <w:szCs w:val="21"/>
                <w:highlight w:val="none"/>
                <w:lang w:val="en-US" w:eastAsia="zh-CN"/>
              </w:rPr>
              <w:t>总经理主持召开管理评审会议；</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保留管理评审计划、管理评审报告、管理评审会议纪要、签到表等；</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管理评审输入充分；</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管理评审结论：公司管理体系的建立和运行是充分的、适宜的、有效的。</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改进措施要求：进一步组织对标准、《管理手册》、《程序文件》、相关法律、法规、规程和规范的学习和培训。</w:t>
            </w:r>
          </w:p>
          <w:p>
            <w:pPr>
              <w:numPr>
                <w:ilvl w:val="0"/>
                <w:numId w:val="0"/>
              </w:num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保留“管理评审改进措施计划”。</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持续改进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10.3</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hint="eastAsia" w:eastAsia="宋体"/>
                <w:lang w:val="en-US" w:eastAsia="zh-CN"/>
              </w:rPr>
            </w:pPr>
            <w:r>
              <w:rPr>
                <w:rFonts w:hint="eastAsia"/>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6ED7"/>
    <w:rsid w:val="24072712"/>
    <w:rsid w:val="384A1D5A"/>
    <w:rsid w:val="72355BEF"/>
    <w:rsid w:val="73A20F20"/>
    <w:rsid w:val="751A4E55"/>
    <w:rsid w:val="76686287"/>
    <w:rsid w:val="766B0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2021-06-22T03:43:05Z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