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97" w:rsidRDefault="007616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1D3C97">
        <w:trPr>
          <w:trHeight w:val="515"/>
        </w:trPr>
        <w:tc>
          <w:tcPr>
            <w:tcW w:w="2160" w:type="dxa"/>
            <w:vMerge w:val="restart"/>
            <w:vAlign w:val="center"/>
          </w:tcPr>
          <w:p w:rsidR="001D3C97" w:rsidRDefault="007616D5">
            <w:pPr>
              <w:spacing w:before="120"/>
              <w:jc w:val="center"/>
              <w:rPr>
                <w:sz w:val="24"/>
                <w:szCs w:val="24"/>
              </w:rPr>
            </w:pPr>
            <w:r>
              <w:rPr>
                <w:rFonts w:hint="eastAsia"/>
                <w:sz w:val="24"/>
                <w:szCs w:val="24"/>
              </w:rPr>
              <w:t>过程与活动、</w:t>
            </w:r>
          </w:p>
          <w:p w:rsidR="001D3C97" w:rsidRDefault="007616D5">
            <w:pPr>
              <w:jc w:val="center"/>
            </w:pPr>
            <w:r>
              <w:rPr>
                <w:rFonts w:hint="eastAsia"/>
                <w:sz w:val="24"/>
                <w:szCs w:val="24"/>
              </w:rPr>
              <w:t>抽样计划</w:t>
            </w:r>
          </w:p>
        </w:tc>
        <w:tc>
          <w:tcPr>
            <w:tcW w:w="1209" w:type="dxa"/>
            <w:vMerge w:val="restart"/>
            <w:vAlign w:val="center"/>
          </w:tcPr>
          <w:p w:rsidR="001D3C97" w:rsidRDefault="007616D5">
            <w:r>
              <w:rPr>
                <w:rFonts w:hint="eastAsia"/>
                <w:sz w:val="24"/>
                <w:szCs w:val="24"/>
              </w:rPr>
              <w:t>涉及条款</w:t>
            </w:r>
          </w:p>
        </w:tc>
        <w:tc>
          <w:tcPr>
            <w:tcW w:w="9755" w:type="dxa"/>
            <w:vAlign w:val="center"/>
          </w:tcPr>
          <w:p w:rsidR="001D3C97" w:rsidRDefault="007616D5" w:rsidP="00445BA4">
            <w:pPr>
              <w:rPr>
                <w:sz w:val="24"/>
                <w:szCs w:val="24"/>
              </w:rPr>
            </w:pPr>
            <w:r>
              <w:rPr>
                <w:rFonts w:hint="eastAsia"/>
                <w:sz w:val="24"/>
                <w:szCs w:val="24"/>
              </w:rPr>
              <w:t>受审核部门：财务部</w:t>
            </w:r>
            <w:r>
              <w:rPr>
                <w:rFonts w:hint="eastAsia"/>
                <w:sz w:val="24"/>
                <w:szCs w:val="24"/>
              </w:rPr>
              <w:t xml:space="preserve">    </w:t>
            </w:r>
            <w:r w:rsidR="00445BA4">
              <w:rPr>
                <w:rFonts w:hint="eastAsia"/>
                <w:sz w:val="24"/>
                <w:szCs w:val="24"/>
              </w:rPr>
              <w:t xml:space="preserve">         </w:t>
            </w:r>
            <w:r>
              <w:rPr>
                <w:rFonts w:hint="eastAsia"/>
                <w:sz w:val="24"/>
                <w:szCs w:val="24"/>
              </w:rPr>
              <w:t xml:space="preserve"> </w:t>
            </w:r>
            <w:r>
              <w:rPr>
                <w:rFonts w:hint="eastAsia"/>
                <w:sz w:val="24"/>
                <w:szCs w:val="24"/>
              </w:rPr>
              <w:t>主管领导</w:t>
            </w:r>
            <w:r w:rsidR="00445BA4">
              <w:rPr>
                <w:rFonts w:hint="eastAsia"/>
                <w:sz w:val="24"/>
                <w:szCs w:val="24"/>
              </w:rPr>
              <w:t>/</w:t>
            </w:r>
            <w:r w:rsidR="00445BA4">
              <w:rPr>
                <w:rFonts w:hint="eastAsia"/>
                <w:sz w:val="24"/>
                <w:szCs w:val="24"/>
              </w:rPr>
              <w:t>陪同人员</w:t>
            </w:r>
            <w:r>
              <w:rPr>
                <w:rFonts w:hint="eastAsia"/>
                <w:sz w:val="24"/>
                <w:szCs w:val="24"/>
              </w:rPr>
              <w:t>：</w:t>
            </w:r>
            <w:r w:rsidR="009406A7" w:rsidRPr="009406A7">
              <w:rPr>
                <w:rFonts w:ascii="宋体" w:hAnsi="宋体" w:hint="eastAsia"/>
                <w:sz w:val="24"/>
              </w:rPr>
              <w:t>曾招弟</w:t>
            </w:r>
          </w:p>
        </w:tc>
        <w:tc>
          <w:tcPr>
            <w:tcW w:w="1585" w:type="dxa"/>
            <w:vMerge w:val="restart"/>
            <w:vAlign w:val="center"/>
          </w:tcPr>
          <w:p w:rsidR="001D3C97" w:rsidRDefault="007616D5">
            <w:pPr>
              <w:rPr>
                <w:sz w:val="24"/>
                <w:szCs w:val="24"/>
              </w:rPr>
            </w:pPr>
            <w:r>
              <w:rPr>
                <w:rFonts w:hint="eastAsia"/>
                <w:sz w:val="24"/>
                <w:szCs w:val="24"/>
              </w:rPr>
              <w:t>判定</w:t>
            </w:r>
          </w:p>
        </w:tc>
      </w:tr>
      <w:tr w:rsidR="001D3C97">
        <w:trPr>
          <w:trHeight w:val="403"/>
        </w:trPr>
        <w:tc>
          <w:tcPr>
            <w:tcW w:w="2160" w:type="dxa"/>
            <w:vMerge/>
            <w:vAlign w:val="center"/>
          </w:tcPr>
          <w:p w:rsidR="001D3C97" w:rsidRDefault="001D3C97"/>
        </w:tc>
        <w:tc>
          <w:tcPr>
            <w:tcW w:w="1209" w:type="dxa"/>
            <w:vMerge/>
            <w:vAlign w:val="center"/>
          </w:tcPr>
          <w:p w:rsidR="001D3C97" w:rsidRDefault="001D3C97"/>
        </w:tc>
        <w:tc>
          <w:tcPr>
            <w:tcW w:w="9755" w:type="dxa"/>
            <w:vAlign w:val="center"/>
          </w:tcPr>
          <w:p w:rsidR="001D3C97" w:rsidRDefault="007616D5" w:rsidP="009406A7">
            <w:pPr>
              <w:spacing w:before="120"/>
            </w:pPr>
            <w:r>
              <w:rPr>
                <w:rFonts w:hint="eastAsia"/>
                <w:sz w:val="24"/>
                <w:szCs w:val="24"/>
              </w:rPr>
              <w:t>审核员：</w:t>
            </w:r>
            <w:r w:rsidR="00445BA4">
              <w:rPr>
                <w:rFonts w:hint="eastAsia"/>
                <w:sz w:val="24"/>
                <w:szCs w:val="24"/>
              </w:rPr>
              <w:t>文波</w:t>
            </w:r>
            <w:r>
              <w:rPr>
                <w:rFonts w:hint="eastAsia"/>
                <w:sz w:val="24"/>
                <w:szCs w:val="24"/>
              </w:rPr>
              <w:t xml:space="preserve">      </w:t>
            </w:r>
            <w:r w:rsidR="00445BA4">
              <w:rPr>
                <w:rFonts w:hint="eastAsia"/>
                <w:sz w:val="24"/>
                <w:szCs w:val="24"/>
              </w:rPr>
              <w:t xml:space="preserve">               </w:t>
            </w:r>
            <w:r>
              <w:rPr>
                <w:rFonts w:hint="eastAsia"/>
                <w:sz w:val="24"/>
                <w:szCs w:val="24"/>
              </w:rPr>
              <w:t>审核时间：</w:t>
            </w:r>
            <w:r>
              <w:rPr>
                <w:sz w:val="24"/>
                <w:szCs w:val="24"/>
              </w:rPr>
              <w:t>20</w:t>
            </w:r>
            <w:r>
              <w:rPr>
                <w:rFonts w:hint="eastAsia"/>
                <w:sz w:val="24"/>
                <w:szCs w:val="24"/>
              </w:rPr>
              <w:t>21.</w:t>
            </w:r>
            <w:r w:rsidR="009406A7">
              <w:rPr>
                <w:rFonts w:hint="eastAsia"/>
                <w:sz w:val="24"/>
                <w:szCs w:val="24"/>
              </w:rPr>
              <w:t>6.</w:t>
            </w:r>
            <w:r w:rsidR="00445BA4">
              <w:rPr>
                <w:rFonts w:hint="eastAsia"/>
                <w:sz w:val="24"/>
                <w:szCs w:val="24"/>
              </w:rPr>
              <w:t>4</w:t>
            </w:r>
          </w:p>
        </w:tc>
        <w:tc>
          <w:tcPr>
            <w:tcW w:w="1585" w:type="dxa"/>
            <w:vMerge/>
          </w:tcPr>
          <w:p w:rsidR="001D3C97" w:rsidRDefault="001D3C97"/>
        </w:tc>
      </w:tr>
      <w:tr w:rsidR="001D3C97" w:rsidTr="00445BA4">
        <w:trPr>
          <w:trHeight w:val="2084"/>
        </w:trPr>
        <w:tc>
          <w:tcPr>
            <w:tcW w:w="2160" w:type="dxa"/>
            <w:vMerge/>
            <w:vAlign w:val="center"/>
          </w:tcPr>
          <w:p w:rsidR="001D3C97" w:rsidRDefault="001D3C97"/>
        </w:tc>
        <w:tc>
          <w:tcPr>
            <w:tcW w:w="1209" w:type="dxa"/>
            <w:vMerge/>
            <w:vAlign w:val="center"/>
          </w:tcPr>
          <w:p w:rsidR="001D3C97" w:rsidRDefault="001D3C97"/>
        </w:tc>
        <w:tc>
          <w:tcPr>
            <w:tcW w:w="9755" w:type="dxa"/>
            <w:vAlign w:val="center"/>
          </w:tcPr>
          <w:p w:rsidR="001D3C97" w:rsidRDefault="007616D5">
            <w:pPr>
              <w:spacing w:line="360" w:lineRule="auto"/>
              <w:rPr>
                <w:rFonts w:eastAsiaTheme="minorEastAsia" w:hAnsiTheme="minorEastAsia"/>
                <w:sz w:val="24"/>
                <w:szCs w:val="24"/>
              </w:rPr>
            </w:pPr>
            <w:r>
              <w:rPr>
                <w:rFonts w:eastAsiaTheme="minorEastAsia" w:hAnsiTheme="minorEastAsia" w:hint="eastAsia"/>
                <w:sz w:val="24"/>
                <w:szCs w:val="24"/>
              </w:rPr>
              <w:t>审核条款：</w:t>
            </w:r>
          </w:p>
          <w:p w:rsidR="009406A7" w:rsidRPr="009406A7" w:rsidRDefault="009406A7" w:rsidP="009406A7">
            <w:pPr>
              <w:spacing w:line="360" w:lineRule="auto"/>
              <w:rPr>
                <w:rFonts w:eastAsiaTheme="minorEastAsia" w:hAnsiTheme="minorEastAsia"/>
                <w:sz w:val="24"/>
                <w:szCs w:val="24"/>
              </w:rPr>
            </w:pPr>
            <w:r w:rsidRPr="009406A7">
              <w:rPr>
                <w:rFonts w:eastAsiaTheme="minorEastAsia" w:hAnsiTheme="minorEastAsia" w:hint="eastAsia"/>
                <w:sz w:val="24"/>
                <w:szCs w:val="24"/>
              </w:rPr>
              <w:t>QMS: 5.3</w:t>
            </w:r>
            <w:r w:rsidRPr="009406A7">
              <w:rPr>
                <w:rFonts w:eastAsiaTheme="minorEastAsia" w:hAnsiTheme="minorEastAsia" w:hint="eastAsia"/>
                <w:sz w:val="24"/>
                <w:szCs w:val="24"/>
              </w:rPr>
              <w:t>组织的岗位、职责和权限、</w:t>
            </w:r>
            <w:r w:rsidRPr="009406A7">
              <w:rPr>
                <w:rFonts w:eastAsiaTheme="minorEastAsia" w:hAnsiTheme="minorEastAsia" w:hint="eastAsia"/>
                <w:sz w:val="24"/>
                <w:szCs w:val="24"/>
              </w:rPr>
              <w:t>6.2</w:t>
            </w:r>
            <w:r w:rsidRPr="009406A7">
              <w:rPr>
                <w:rFonts w:eastAsiaTheme="minorEastAsia" w:hAnsiTheme="minorEastAsia" w:hint="eastAsia"/>
                <w:sz w:val="24"/>
                <w:szCs w:val="24"/>
              </w:rPr>
              <w:t>质量目标、</w:t>
            </w:r>
          </w:p>
          <w:p w:rsidR="001D3C97" w:rsidRDefault="009406A7" w:rsidP="009406A7">
            <w:pPr>
              <w:spacing w:line="360" w:lineRule="auto"/>
              <w:rPr>
                <w:rFonts w:ascii="宋体" w:hAnsi="宋体" w:cs="Arial"/>
                <w:szCs w:val="21"/>
              </w:rPr>
            </w:pPr>
            <w:r w:rsidRPr="009406A7">
              <w:rPr>
                <w:rFonts w:eastAsiaTheme="minorEastAsia" w:hAnsiTheme="minorEastAsia" w:hint="eastAsia"/>
                <w:sz w:val="24"/>
                <w:szCs w:val="24"/>
              </w:rPr>
              <w:t>OHSMS: 5.3</w:t>
            </w:r>
            <w:r w:rsidRPr="009406A7">
              <w:rPr>
                <w:rFonts w:eastAsiaTheme="minorEastAsia" w:hAnsiTheme="minorEastAsia" w:hint="eastAsia"/>
                <w:sz w:val="24"/>
                <w:szCs w:val="24"/>
              </w:rPr>
              <w:t>组织的岗位、职责和权限、</w:t>
            </w:r>
            <w:r w:rsidRPr="009406A7">
              <w:rPr>
                <w:rFonts w:eastAsiaTheme="minorEastAsia" w:hAnsiTheme="minorEastAsia" w:hint="eastAsia"/>
                <w:sz w:val="24"/>
                <w:szCs w:val="24"/>
              </w:rPr>
              <w:t>6.2.1</w:t>
            </w:r>
            <w:r w:rsidRPr="009406A7">
              <w:rPr>
                <w:rFonts w:eastAsiaTheme="minorEastAsia" w:hAnsiTheme="minorEastAsia" w:hint="eastAsia"/>
                <w:sz w:val="24"/>
                <w:szCs w:val="24"/>
              </w:rPr>
              <w:t>职业健康安全目标、</w:t>
            </w:r>
            <w:r w:rsidRPr="009406A7">
              <w:rPr>
                <w:rFonts w:eastAsiaTheme="minorEastAsia" w:hAnsiTheme="minorEastAsia" w:hint="eastAsia"/>
                <w:sz w:val="24"/>
                <w:szCs w:val="24"/>
              </w:rPr>
              <w:t>6.2.2</w:t>
            </w:r>
            <w:r w:rsidRPr="009406A7">
              <w:rPr>
                <w:rFonts w:eastAsiaTheme="minorEastAsia" w:hAnsiTheme="minorEastAsia" w:hint="eastAsia"/>
                <w:sz w:val="24"/>
                <w:szCs w:val="24"/>
              </w:rPr>
              <w:t>实现职业健康安全目标措施的策划、</w:t>
            </w:r>
            <w:r w:rsidRPr="009406A7">
              <w:rPr>
                <w:rFonts w:eastAsiaTheme="minorEastAsia" w:hAnsiTheme="minorEastAsia" w:hint="eastAsia"/>
                <w:sz w:val="24"/>
                <w:szCs w:val="24"/>
              </w:rPr>
              <w:t>6.1.2</w:t>
            </w:r>
            <w:r w:rsidRPr="009406A7">
              <w:rPr>
                <w:rFonts w:eastAsiaTheme="minorEastAsia" w:hAnsiTheme="minorEastAsia" w:hint="eastAsia"/>
                <w:sz w:val="24"/>
                <w:szCs w:val="24"/>
              </w:rPr>
              <w:t>危险源的识别与评价、</w:t>
            </w:r>
            <w:r w:rsidRPr="009406A7">
              <w:rPr>
                <w:rFonts w:eastAsiaTheme="minorEastAsia" w:hAnsiTheme="minorEastAsia" w:hint="eastAsia"/>
                <w:sz w:val="24"/>
                <w:szCs w:val="24"/>
              </w:rPr>
              <w:t>8.1</w:t>
            </w:r>
            <w:r w:rsidRPr="009406A7">
              <w:rPr>
                <w:rFonts w:eastAsiaTheme="minorEastAsia" w:hAnsiTheme="minorEastAsia" w:hint="eastAsia"/>
                <w:sz w:val="24"/>
                <w:szCs w:val="24"/>
              </w:rPr>
              <w:t>运行策划和控制、</w:t>
            </w:r>
            <w:r w:rsidRPr="009406A7">
              <w:rPr>
                <w:rFonts w:eastAsiaTheme="minorEastAsia" w:hAnsiTheme="minorEastAsia" w:hint="eastAsia"/>
                <w:sz w:val="24"/>
                <w:szCs w:val="24"/>
              </w:rPr>
              <w:t>8.2</w:t>
            </w:r>
            <w:r w:rsidRPr="009406A7">
              <w:rPr>
                <w:rFonts w:eastAsiaTheme="minorEastAsia" w:hAnsiTheme="minorEastAsia" w:hint="eastAsia"/>
                <w:sz w:val="24"/>
                <w:szCs w:val="24"/>
              </w:rPr>
              <w:t>应急准备和响应、</w:t>
            </w:r>
            <w:r w:rsidRPr="009406A7">
              <w:rPr>
                <w:rFonts w:eastAsiaTheme="minorEastAsia" w:hAnsiTheme="minorEastAsia" w:hint="eastAsia"/>
                <w:sz w:val="24"/>
                <w:szCs w:val="24"/>
              </w:rPr>
              <w:t>OHSMS</w:t>
            </w:r>
            <w:r w:rsidRPr="009406A7">
              <w:rPr>
                <w:rFonts w:eastAsiaTheme="minorEastAsia" w:hAnsiTheme="minorEastAsia" w:hint="eastAsia"/>
                <w:sz w:val="24"/>
                <w:szCs w:val="24"/>
              </w:rPr>
              <w:t>运行控制相关财务支出证据</w:t>
            </w:r>
          </w:p>
        </w:tc>
        <w:tc>
          <w:tcPr>
            <w:tcW w:w="1585" w:type="dxa"/>
            <w:vMerge/>
          </w:tcPr>
          <w:p w:rsidR="001D3C97" w:rsidRDefault="001D3C97"/>
        </w:tc>
      </w:tr>
      <w:tr w:rsidR="001D3C97">
        <w:trPr>
          <w:trHeight w:val="1255"/>
        </w:trPr>
        <w:tc>
          <w:tcPr>
            <w:tcW w:w="2160" w:type="dxa"/>
            <w:vAlign w:val="center"/>
          </w:tcPr>
          <w:p w:rsidR="001D3C97" w:rsidRDefault="007616D5">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rsidR="001D3C97" w:rsidRDefault="00E17F8A">
            <w:pPr>
              <w:rPr>
                <w:rFonts w:eastAsiaTheme="minorEastAsia"/>
                <w:sz w:val="24"/>
                <w:szCs w:val="24"/>
              </w:rPr>
            </w:pPr>
            <w:r>
              <w:rPr>
                <w:rFonts w:eastAsiaTheme="minorEastAsia"/>
                <w:sz w:val="24"/>
                <w:szCs w:val="24"/>
              </w:rPr>
              <w:t>Q</w:t>
            </w:r>
            <w:r w:rsidR="009406A7">
              <w:rPr>
                <w:rFonts w:eastAsiaTheme="minorEastAsia"/>
                <w:sz w:val="24"/>
                <w:szCs w:val="24"/>
              </w:rPr>
              <w:t>O</w:t>
            </w:r>
            <w:r w:rsidR="007616D5">
              <w:rPr>
                <w:rFonts w:eastAsiaTheme="minorEastAsia"/>
                <w:sz w:val="24"/>
                <w:szCs w:val="24"/>
              </w:rPr>
              <w:t>5.3</w:t>
            </w:r>
          </w:p>
          <w:p w:rsidR="001D3C97" w:rsidRDefault="001D3C97">
            <w:pPr>
              <w:rPr>
                <w:rFonts w:eastAsiaTheme="minorEastAsia"/>
                <w:sz w:val="24"/>
                <w:szCs w:val="24"/>
              </w:rPr>
            </w:pPr>
          </w:p>
          <w:p w:rsidR="001D3C97" w:rsidRDefault="001D3C97">
            <w:pPr>
              <w:rPr>
                <w:rFonts w:eastAsiaTheme="minorEastAsia"/>
                <w:sz w:val="24"/>
                <w:szCs w:val="24"/>
              </w:rPr>
            </w:pPr>
          </w:p>
        </w:tc>
        <w:tc>
          <w:tcPr>
            <w:tcW w:w="9755" w:type="dxa"/>
            <w:vAlign w:val="center"/>
          </w:tcPr>
          <w:p w:rsidR="001D3C97" w:rsidRDefault="007616D5">
            <w:pPr>
              <w:rPr>
                <w:rFonts w:eastAsiaTheme="minorEastAsia" w:hAnsiTheme="minorEastAsia"/>
                <w:sz w:val="24"/>
                <w:szCs w:val="24"/>
              </w:rPr>
            </w:pPr>
            <w:r>
              <w:rPr>
                <w:rFonts w:eastAsiaTheme="minorEastAsia" w:hAnsiTheme="minorEastAsia" w:hint="eastAsia"/>
                <w:sz w:val="24"/>
                <w:szCs w:val="24"/>
              </w:rPr>
              <w:t>审核过程中了解到部门主要负责：</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数据分析、财务管理工作，组织编制财务管理制度；制定财务预算，进行帐务处理和财务决算，组织编制会计报表及成本分析，财务分析报告；负责资金筹措与调度、资金结算、成本核算；组织制定财务预算，进行帐务处理和财务决算，组织编制会计报表及成本分析，财务分析报告；组织工资核算，审核发放清单。</w:t>
            </w:r>
          </w:p>
          <w:p w:rsidR="001D3C97" w:rsidRDefault="007616D5">
            <w:pPr>
              <w:spacing w:line="360" w:lineRule="auto"/>
              <w:rPr>
                <w:rFonts w:eastAsiaTheme="minorEastAsia" w:hAnsiTheme="minorEastAsia"/>
                <w:sz w:val="24"/>
                <w:szCs w:val="24"/>
              </w:rPr>
            </w:pPr>
            <w:r>
              <w:rPr>
                <w:rFonts w:eastAsiaTheme="minorEastAsia" w:hAnsiTheme="minorEastAsia" w:hint="eastAsia"/>
                <w:sz w:val="24"/>
                <w:szCs w:val="24"/>
              </w:rPr>
              <w:t>部门负责人职责明确，回答基本正确，沟通顺畅</w:t>
            </w:r>
          </w:p>
        </w:tc>
        <w:tc>
          <w:tcPr>
            <w:tcW w:w="1585" w:type="dxa"/>
          </w:tcPr>
          <w:p w:rsidR="001D3C97" w:rsidRDefault="007616D5">
            <w:r>
              <w:t>符合</w:t>
            </w:r>
          </w:p>
        </w:tc>
      </w:tr>
      <w:tr w:rsidR="001D3C97">
        <w:trPr>
          <w:trHeight w:val="703"/>
        </w:trPr>
        <w:tc>
          <w:tcPr>
            <w:tcW w:w="2160" w:type="dxa"/>
            <w:vAlign w:val="center"/>
          </w:tcPr>
          <w:p w:rsidR="001D3C97" w:rsidRDefault="007616D5">
            <w:pPr>
              <w:rPr>
                <w:rFonts w:eastAsiaTheme="minorEastAsia"/>
                <w:sz w:val="24"/>
                <w:szCs w:val="24"/>
              </w:rPr>
            </w:pPr>
            <w:r>
              <w:rPr>
                <w:rFonts w:eastAsiaTheme="minorEastAsia" w:hAnsiTheme="minorEastAsia"/>
                <w:sz w:val="24"/>
                <w:szCs w:val="24"/>
              </w:rPr>
              <w:t>目标和方案</w:t>
            </w:r>
          </w:p>
        </w:tc>
        <w:tc>
          <w:tcPr>
            <w:tcW w:w="1209" w:type="dxa"/>
            <w:vAlign w:val="center"/>
          </w:tcPr>
          <w:p w:rsidR="001D3C97" w:rsidRDefault="00E17F8A">
            <w:pPr>
              <w:rPr>
                <w:rFonts w:eastAsiaTheme="minorEastAsia"/>
                <w:sz w:val="24"/>
                <w:szCs w:val="24"/>
              </w:rPr>
            </w:pPr>
            <w:r>
              <w:rPr>
                <w:rFonts w:eastAsiaTheme="minorEastAsia"/>
                <w:sz w:val="24"/>
                <w:szCs w:val="24"/>
              </w:rPr>
              <w:t>Q</w:t>
            </w:r>
            <w:r w:rsidR="009406A7">
              <w:rPr>
                <w:rFonts w:eastAsiaTheme="minorEastAsia"/>
                <w:sz w:val="24"/>
                <w:szCs w:val="24"/>
              </w:rPr>
              <w:t>O</w:t>
            </w:r>
            <w:r w:rsidR="007616D5">
              <w:rPr>
                <w:rFonts w:eastAsiaTheme="minorEastAsia"/>
                <w:sz w:val="24"/>
                <w:szCs w:val="24"/>
              </w:rPr>
              <w:t>6.2</w:t>
            </w:r>
          </w:p>
          <w:p w:rsidR="001D3C97" w:rsidRDefault="001D3C97">
            <w:pPr>
              <w:rPr>
                <w:rFonts w:eastAsiaTheme="minorEastAsia"/>
                <w:sz w:val="24"/>
                <w:szCs w:val="24"/>
              </w:rPr>
            </w:pPr>
          </w:p>
          <w:p w:rsidR="001D3C97" w:rsidRDefault="001D3C97">
            <w:pPr>
              <w:rPr>
                <w:rFonts w:eastAsiaTheme="minorEastAsia"/>
                <w:sz w:val="24"/>
                <w:szCs w:val="24"/>
              </w:rPr>
            </w:pPr>
          </w:p>
        </w:tc>
        <w:tc>
          <w:tcPr>
            <w:tcW w:w="9755" w:type="dxa"/>
            <w:vAlign w:val="center"/>
          </w:tcPr>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部门目标：</w:t>
            </w:r>
            <w:r w:rsidR="000C26B8">
              <w:rPr>
                <w:rFonts w:eastAsiaTheme="minorEastAsia" w:hAnsiTheme="minorEastAsia"/>
                <w:sz w:val="24"/>
                <w:szCs w:val="24"/>
              </w:rPr>
              <w:t>202</w:t>
            </w:r>
            <w:r w:rsidR="000C26B8">
              <w:rPr>
                <w:rFonts w:eastAsiaTheme="minorEastAsia" w:hAnsiTheme="minorEastAsia" w:hint="eastAsia"/>
                <w:sz w:val="24"/>
                <w:szCs w:val="24"/>
              </w:rPr>
              <w:t>1</w:t>
            </w:r>
            <w:r>
              <w:rPr>
                <w:rFonts w:eastAsiaTheme="minorEastAsia" w:hAnsiTheme="minorEastAsia"/>
                <w:sz w:val="24"/>
                <w:szCs w:val="24"/>
              </w:rPr>
              <w:t>.</w:t>
            </w:r>
            <w:r w:rsidR="009406A7">
              <w:rPr>
                <w:rFonts w:eastAsiaTheme="minorEastAsia" w:hAnsiTheme="minorEastAsia" w:hint="eastAsia"/>
                <w:sz w:val="24"/>
                <w:szCs w:val="24"/>
              </w:rPr>
              <w:t>4</w:t>
            </w:r>
            <w:r w:rsidR="000C26B8">
              <w:rPr>
                <w:rFonts w:eastAsiaTheme="minorEastAsia" w:hAnsiTheme="minorEastAsia" w:hint="eastAsia"/>
                <w:sz w:val="24"/>
                <w:szCs w:val="24"/>
              </w:rPr>
              <w:t>.</w:t>
            </w:r>
            <w:r w:rsidR="009406A7">
              <w:rPr>
                <w:rFonts w:eastAsiaTheme="minorEastAsia" w:hAnsiTheme="minorEastAsia" w:hint="eastAsia"/>
                <w:sz w:val="24"/>
                <w:szCs w:val="24"/>
              </w:rPr>
              <w:t>10</w:t>
            </w:r>
            <w:r>
              <w:rPr>
                <w:rFonts w:eastAsiaTheme="minorEastAsia" w:hAnsiTheme="minorEastAsia" w:hint="eastAsia"/>
                <w:sz w:val="24"/>
                <w:szCs w:val="24"/>
              </w:rPr>
              <w:t>考</w:t>
            </w:r>
            <w:r>
              <w:rPr>
                <w:rFonts w:eastAsiaTheme="minorEastAsia" w:hAnsiTheme="minorEastAsia"/>
                <w:sz w:val="24"/>
                <w:szCs w:val="24"/>
              </w:rPr>
              <w:t>核</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w:t>
            </w:r>
            <w:r>
              <w:rPr>
                <w:rFonts w:ascii="宋体" w:hAnsi="宋体" w:hint="eastAsia"/>
                <w:color w:val="000000"/>
                <w:sz w:val="24"/>
              </w:rPr>
              <w:t>固体废弃物分类处置率100%；</w:t>
            </w:r>
            <w:r>
              <w:rPr>
                <w:rFonts w:eastAsiaTheme="minorEastAsia" w:hAnsiTheme="minorEastAsia"/>
                <w:sz w:val="24"/>
                <w:szCs w:val="24"/>
              </w:rPr>
              <w:t xml:space="preserve">                             100%</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sz w:val="24"/>
                <w:szCs w:val="24"/>
              </w:rPr>
              <w:t>、</w:t>
            </w:r>
            <w:r w:rsidR="009406A7">
              <w:rPr>
                <w:rFonts w:ascii="宋体" w:hAnsi="宋体" w:hint="eastAsia"/>
                <w:color w:val="000000"/>
                <w:sz w:val="24"/>
              </w:rPr>
              <w:t>火灾</w:t>
            </w:r>
            <w:r>
              <w:rPr>
                <w:rFonts w:ascii="宋体" w:hAnsi="宋体" w:hint="eastAsia"/>
                <w:color w:val="000000"/>
                <w:sz w:val="24"/>
              </w:rPr>
              <w:t>事故为0；</w:t>
            </w:r>
            <w:r>
              <w:rPr>
                <w:rFonts w:eastAsiaTheme="minorEastAsia" w:hAnsiTheme="minorEastAsia" w:hint="eastAsia"/>
                <w:sz w:val="24"/>
                <w:szCs w:val="24"/>
              </w:rPr>
              <w:t xml:space="preserve">  </w:t>
            </w:r>
            <w:r w:rsidR="000C26B8">
              <w:rPr>
                <w:rFonts w:eastAsiaTheme="minorEastAsia" w:hAnsiTheme="minorEastAsia" w:hint="eastAsia"/>
                <w:sz w:val="24"/>
                <w:szCs w:val="24"/>
              </w:rPr>
              <w:t xml:space="preserve">                                 </w:t>
            </w:r>
            <w:r w:rsidR="009406A7">
              <w:rPr>
                <w:rFonts w:eastAsiaTheme="minorEastAsia" w:hAnsiTheme="minorEastAsia" w:hint="eastAsia"/>
                <w:sz w:val="24"/>
                <w:szCs w:val="24"/>
              </w:rPr>
              <w:t xml:space="preserve">   </w:t>
            </w:r>
            <w:r>
              <w:rPr>
                <w:rFonts w:eastAsiaTheme="minorEastAsia" w:hAnsiTheme="minorEastAsia" w:hint="eastAsia"/>
                <w:sz w:val="24"/>
                <w:szCs w:val="24"/>
              </w:rPr>
              <w:t>没发生事故</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ascii="宋体" w:hAnsi="宋体" w:hint="eastAsia"/>
                <w:color w:val="000000"/>
                <w:sz w:val="24"/>
              </w:rPr>
              <w:t>环保、安全资金提供及时率100%</w:t>
            </w:r>
            <w:r>
              <w:rPr>
                <w:rFonts w:eastAsiaTheme="minorEastAsia" w:hAnsiTheme="minorEastAsia" w:hint="eastAsia"/>
                <w:sz w:val="24"/>
                <w:szCs w:val="24"/>
              </w:rPr>
              <w:t xml:space="preserve">                           100%</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查到</w:t>
            </w:r>
            <w:r>
              <w:rPr>
                <w:rFonts w:eastAsiaTheme="minorEastAsia" w:hAnsiTheme="minorEastAsia" w:hint="eastAsia"/>
                <w:sz w:val="24"/>
                <w:szCs w:val="24"/>
              </w:rPr>
              <w:t>202</w:t>
            </w:r>
            <w:r w:rsidR="000C26B8">
              <w:rPr>
                <w:rFonts w:eastAsiaTheme="minorEastAsia" w:hAnsiTheme="minorEastAsia" w:hint="eastAsia"/>
                <w:sz w:val="24"/>
                <w:szCs w:val="24"/>
              </w:rPr>
              <w:t>1</w:t>
            </w:r>
            <w:r>
              <w:rPr>
                <w:rFonts w:eastAsiaTheme="minorEastAsia" w:hAnsiTheme="minorEastAsia" w:hint="eastAsia"/>
                <w:sz w:val="24"/>
                <w:szCs w:val="24"/>
              </w:rPr>
              <w:t>年目标完成计划，明确了管理目标、采取措施，需要的资源、负责人、完成时间、如何评价结果等要求。</w:t>
            </w:r>
          </w:p>
          <w:p w:rsidR="001D3C97" w:rsidRDefault="007616D5">
            <w:pPr>
              <w:spacing w:line="360" w:lineRule="auto"/>
              <w:ind w:firstLineChars="200" w:firstLine="480"/>
            </w:pPr>
            <w:r>
              <w:rPr>
                <w:rFonts w:eastAsiaTheme="minorEastAsia" w:hAnsiTheme="minorEastAsia" w:hint="eastAsia"/>
                <w:sz w:val="24"/>
                <w:szCs w:val="24"/>
              </w:rPr>
              <w:t>制定的目标指标和管理方案基本可行。</w:t>
            </w:r>
          </w:p>
        </w:tc>
        <w:tc>
          <w:tcPr>
            <w:tcW w:w="1585" w:type="dxa"/>
          </w:tcPr>
          <w:p w:rsidR="001D3C97" w:rsidRDefault="007616D5">
            <w:r>
              <w:lastRenderedPageBreak/>
              <w:t>符合</w:t>
            </w:r>
          </w:p>
        </w:tc>
      </w:tr>
      <w:tr w:rsidR="009406A7" w:rsidTr="00212E9B">
        <w:trPr>
          <w:trHeight w:val="986"/>
        </w:trPr>
        <w:tc>
          <w:tcPr>
            <w:tcW w:w="2160" w:type="dxa"/>
          </w:tcPr>
          <w:p w:rsidR="009406A7" w:rsidRPr="00DA692E" w:rsidRDefault="009406A7" w:rsidP="00FF25DA">
            <w:pPr>
              <w:spacing w:line="280" w:lineRule="exact"/>
              <w:rPr>
                <w:szCs w:val="21"/>
              </w:rPr>
            </w:pPr>
            <w:r w:rsidRPr="00DA692E">
              <w:rPr>
                <w:rFonts w:hAnsi="宋体"/>
                <w:szCs w:val="21"/>
              </w:rPr>
              <w:lastRenderedPageBreak/>
              <w:t>危险源</w:t>
            </w:r>
          </w:p>
          <w:p w:rsidR="009406A7" w:rsidRDefault="009406A7" w:rsidP="00FF25DA">
            <w:pPr>
              <w:spacing w:line="280" w:lineRule="exact"/>
              <w:rPr>
                <w:rFonts w:hAnsi="宋体"/>
              </w:rPr>
            </w:pPr>
            <w:r w:rsidRPr="00DA692E">
              <w:rPr>
                <w:rFonts w:hAnsi="宋体"/>
                <w:szCs w:val="21"/>
              </w:rPr>
              <w:t>辨识</w:t>
            </w:r>
            <w:r w:rsidRPr="00DA692E">
              <w:rPr>
                <w:rFonts w:hAnsi="宋体"/>
              </w:rPr>
              <w:t>与控制</w:t>
            </w:r>
          </w:p>
          <w:p w:rsidR="009406A7" w:rsidRDefault="009406A7" w:rsidP="00FF25DA">
            <w:pPr>
              <w:spacing w:line="280" w:lineRule="exact"/>
              <w:rPr>
                <w:rFonts w:hAnsi="宋体"/>
              </w:rPr>
            </w:pPr>
          </w:p>
          <w:p w:rsidR="009406A7" w:rsidRDefault="009406A7" w:rsidP="00FF25DA">
            <w:pPr>
              <w:spacing w:line="280" w:lineRule="exact"/>
              <w:rPr>
                <w:rFonts w:hAnsi="宋体"/>
              </w:rPr>
            </w:pPr>
          </w:p>
          <w:p w:rsidR="009406A7" w:rsidRDefault="009406A7" w:rsidP="00FF25DA">
            <w:pPr>
              <w:spacing w:line="280" w:lineRule="exact"/>
              <w:rPr>
                <w:rFonts w:hAnsi="宋体"/>
              </w:rPr>
            </w:pPr>
          </w:p>
          <w:p w:rsidR="009406A7" w:rsidRPr="00DA692E" w:rsidRDefault="009406A7" w:rsidP="00FF25DA">
            <w:pPr>
              <w:spacing w:line="280" w:lineRule="exact"/>
            </w:pPr>
            <w:r>
              <w:rPr>
                <w:rFonts w:hAnsi="宋体" w:hint="eastAsia"/>
              </w:rPr>
              <w:t>措施的策划</w:t>
            </w:r>
          </w:p>
        </w:tc>
        <w:tc>
          <w:tcPr>
            <w:tcW w:w="1209" w:type="dxa"/>
          </w:tcPr>
          <w:p w:rsidR="009406A7" w:rsidRPr="00DA692E" w:rsidRDefault="009406A7" w:rsidP="00FF25DA">
            <w:pPr>
              <w:spacing w:line="280" w:lineRule="exact"/>
              <w:rPr>
                <w:szCs w:val="21"/>
              </w:rPr>
            </w:pPr>
          </w:p>
          <w:p w:rsidR="009406A7" w:rsidRPr="00DA692E" w:rsidRDefault="009406A7" w:rsidP="00FF25DA">
            <w:pPr>
              <w:spacing w:line="280" w:lineRule="exact"/>
              <w:rPr>
                <w:szCs w:val="21"/>
              </w:rPr>
            </w:pPr>
            <w:r w:rsidRPr="00DA692E">
              <w:rPr>
                <w:szCs w:val="21"/>
              </w:rPr>
              <w:t>O6.1.2</w:t>
            </w: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Pr="00DA692E" w:rsidRDefault="009406A7" w:rsidP="00FF25DA">
            <w:pPr>
              <w:spacing w:line="280" w:lineRule="exact"/>
              <w:rPr>
                <w:szCs w:val="21"/>
              </w:rPr>
            </w:pPr>
          </w:p>
          <w:p w:rsidR="009406A7" w:rsidRPr="005C1AAD" w:rsidRDefault="009406A7" w:rsidP="00FF25DA">
            <w:pPr>
              <w:spacing w:line="360" w:lineRule="auto"/>
              <w:rPr>
                <w:rFonts w:eastAsiaTheme="minorEastAsia"/>
                <w:szCs w:val="21"/>
              </w:rPr>
            </w:pPr>
            <w:r>
              <w:rPr>
                <w:rFonts w:eastAsiaTheme="minorEastAsia"/>
                <w:szCs w:val="21"/>
              </w:rPr>
              <w:t>O</w:t>
            </w:r>
            <w:r w:rsidRPr="005C1AAD">
              <w:rPr>
                <w:rFonts w:eastAsiaTheme="minorEastAsia"/>
                <w:szCs w:val="21"/>
              </w:rPr>
              <w:t>6.1.4</w:t>
            </w:r>
          </w:p>
          <w:p w:rsidR="009406A7" w:rsidRPr="00DA692E" w:rsidRDefault="009406A7" w:rsidP="00FF25DA">
            <w:pPr>
              <w:spacing w:line="280" w:lineRule="exact"/>
            </w:pPr>
          </w:p>
        </w:tc>
        <w:tc>
          <w:tcPr>
            <w:tcW w:w="9755" w:type="dxa"/>
            <w:vAlign w:val="center"/>
          </w:tcPr>
          <w:p w:rsidR="009406A7" w:rsidRDefault="009406A7" w:rsidP="00FF25DA">
            <w:pPr>
              <w:spacing w:line="360" w:lineRule="auto"/>
              <w:ind w:firstLineChars="200" w:firstLine="420"/>
              <w:rPr>
                <w:rFonts w:hAnsi="宋体"/>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w:t>
            </w:r>
            <w:r>
              <w:rPr>
                <w:rFonts w:hAnsi="宋体"/>
                <w:szCs w:val="21"/>
              </w:rPr>
              <w:t>、机械伤害、高温伤害、坠落、起重伤害、气罐</w:t>
            </w:r>
            <w:r>
              <w:rPr>
                <w:rFonts w:hAnsi="宋体" w:hint="eastAsia"/>
                <w:szCs w:val="21"/>
              </w:rPr>
              <w:t>/</w:t>
            </w:r>
            <w:r>
              <w:rPr>
                <w:rFonts w:hAnsi="宋体" w:hint="eastAsia"/>
                <w:szCs w:val="21"/>
              </w:rPr>
              <w:t>气瓶</w:t>
            </w:r>
            <w:r>
              <w:rPr>
                <w:rFonts w:hAnsi="宋体"/>
                <w:szCs w:val="21"/>
              </w:rPr>
              <w:t>爆炸</w:t>
            </w:r>
            <w:r w:rsidRPr="00DA692E">
              <w:rPr>
                <w:rFonts w:hAnsi="宋体"/>
                <w:szCs w:val="21"/>
              </w:rPr>
              <w:t>等危险因素。</w:t>
            </w:r>
          </w:p>
          <w:p w:rsidR="009406A7" w:rsidRPr="00DA692E" w:rsidRDefault="009406A7" w:rsidP="00FF25DA">
            <w:pPr>
              <w:spacing w:line="360" w:lineRule="auto"/>
              <w:ind w:firstLineChars="200" w:firstLine="420"/>
              <w:rPr>
                <w:szCs w:val="21"/>
              </w:rPr>
            </w:pPr>
            <w:r w:rsidRPr="00DA692E">
              <w:rPr>
                <w:szCs w:val="21"/>
              </w:rPr>
              <w:t xml:space="preserve"> </w:t>
            </w:r>
            <w:r w:rsidRPr="00DA692E">
              <w:rPr>
                <w:rFonts w:hAnsi="宋体"/>
                <w:szCs w:val="21"/>
              </w:rPr>
              <w:t>评价人：</w:t>
            </w:r>
            <w:r w:rsidRPr="00A61446">
              <w:rPr>
                <w:rFonts w:hAnsi="宋体" w:hint="eastAsia"/>
                <w:szCs w:val="21"/>
              </w:rPr>
              <w:t>汪晓虹、李腊根、杨蓉、陈建华、李刚</w:t>
            </w:r>
            <w:r w:rsidRPr="00A61446">
              <w:rPr>
                <w:rFonts w:hAnsi="宋体" w:hint="eastAsia"/>
                <w:szCs w:val="21"/>
              </w:rPr>
              <w:t xml:space="preserve"> </w:t>
            </w:r>
            <w:r>
              <w:rPr>
                <w:rFonts w:hAnsi="宋体" w:hint="eastAsia"/>
                <w:szCs w:val="21"/>
              </w:rPr>
              <w:t xml:space="preserve"> </w:t>
            </w:r>
            <w:r w:rsidRPr="00D75385">
              <w:rPr>
                <w:rFonts w:hAnsi="宋体"/>
                <w:szCs w:val="21"/>
              </w:rPr>
              <w:t xml:space="preserve"> </w:t>
            </w:r>
            <w:r w:rsidRPr="00DA692E">
              <w:rPr>
                <w:rFonts w:hAnsi="宋体"/>
                <w:szCs w:val="21"/>
              </w:rPr>
              <w:t>时间：</w:t>
            </w:r>
            <w:r w:rsidRPr="00D75385">
              <w:rPr>
                <w:rFonts w:hAnsi="宋体"/>
                <w:szCs w:val="21"/>
              </w:rPr>
              <w:t>2021</w:t>
            </w:r>
            <w:r w:rsidRPr="00DA692E">
              <w:rPr>
                <w:rFonts w:hAnsi="宋体"/>
                <w:szCs w:val="21"/>
              </w:rPr>
              <w:t>年</w:t>
            </w:r>
            <w:r>
              <w:rPr>
                <w:rFonts w:hAnsi="宋体" w:hint="eastAsia"/>
                <w:szCs w:val="21"/>
              </w:rPr>
              <w:t>1</w:t>
            </w:r>
            <w:r w:rsidRPr="00DA692E">
              <w:rPr>
                <w:rFonts w:hAnsi="宋体"/>
                <w:szCs w:val="21"/>
              </w:rPr>
              <w:t>月</w:t>
            </w:r>
            <w:r>
              <w:rPr>
                <w:rFonts w:hAnsi="宋体" w:hint="eastAsia"/>
                <w:szCs w:val="21"/>
              </w:rPr>
              <w:t>12</w:t>
            </w:r>
            <w:r w:rsidRPr="00DA692E">
              <w:rPr>
                <w:rFonts w:hAnsi="宋体"/>
                <w:szCs w:val="21"/>
              </w:rPr>
              <w:t>日</w:t>
            </w:r>
          </w:p>
          <w:p w:rsidR="009406A7" w:rsidRPr="00D75385" w:rsidRDefault="009406A7" w:rsidP="00FF25DA">
            <w:pPr>
              <w:spacing w:line="360" w:lineRule="auto"/>
              <w:ind w:firstLineChars="200" w:firstLine="420"/>
              <w:rPr>
                <w:rFonts w:hAnsi="宋体"/>
                <w:szCs w:val="21"/>
              </w:rPr>
            </w:pPr>
            <w:r>
              <w:rPr>
                <w:rFonts w:hAnsi="宋体" w:hint="eastAsia"/>
                <w:szCs w:val="21"/>
              </w:rPr>
              <w:t>经评价财务报表</w:t>
            </w:r>
            <w:r w:rsidRPr="00D75385">
              <w:rPr>
                <w:rFonts w:hAnsi="宋体" w:hint="eastAsia"/>
                <w:szCs w:val="21"/>
              </w:rPr>
              <w:t>的重大危险源：触电事故、火灾事故的发生。</w:t>
            </w:r>
          </w:p>
          <w:p w:rsidR="009406A7" w:rsidRPr="00D75385" w:rsidRDefault="009406A7" w:rsidP="00FF25DA">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9406A7" w:rsidRPr="00D75385" w:rsidRDefault="009406A7" w:rsidP="00FF25DA">
            <w:pPr>
              <w:spacing w:line="360" w:lineRule="auto"/>
              <w:ind w:firstLineChars="200" w:firstLine="420"/>
              <w:rPr>
                <w:rFonts w:hAnsi="宋体"/>
                <w:szCs w:val="21"/>
              </w:rPr>
            </w:pPr>
            <w:r w:rsidRPr="00D75385">
              <w:rPr>
                <w:rFonts w:hAnsi="宋体" w:hint="eastAsia"/>
                <w:szCs w:val="21"/>
              </w:rPr>
              <w:t>具体控制措施见</w:t>
            </w:r>
            <w:r w:rsidRPr="00D75385">
              <w:rPr>
                <w:rFonts w:hAnsi="宋体" w:hint="eastAsia"/>
                <w:szCs w:val="21"/>
              </w:rPr>
              <w:t>O8.1</w:t>
            </w:r>
            <w:r w:rsidRPr="00D75385">
              <w:rPr>
                <w:rFonts w:hAnsi="宋体" w:hint="eastAsia"/>
                <w:szCs w:val="21"/>
              </w:rPr>
              <w:t>审核记录。</w:t>
            </w:r>
          </w:p>
        </w:tc>
        <w:tc>
          <w:tcPr>
            <w:tcW w:w="1585" w:type="dxa"/>
          </w:tcPr>
          <w:p w:rsidR="009406A7" w:rsidRDefault="009406A7">
            <w:r>
              <w:t>符合</w:t>
            </w:r>
          </w:p>
        </w:tc>
      </w:tr>
      <w:tr w:rsidR="001D3C97">
        <w:trPr>
          <w:trHeight w:val="689"/>
        </w:trPr>
        <w:tc>
          <w:tcPr>
            <w:tcW w:w="2160" w:type="dxa"/>
            <w:vAlign w:val="center"/>
          </w:tcPr>
          <w:p w:rsidR="001D3C97" w:rsidRDefault="001D3C97">
            <w:pPr>
              <w:spacing w:line="360" w:lineRule="auto"/>
              <w:ind w:firstLineChars="200" w:firstLine="480"/>
              <w:rPr>
                <w:rFonts w:eastAsiaTheme="minorEastAsia" w:hAnsiTheme="minorEastAsia"/>
                <w:sz w:val="24"/>
                <w:szCs w:val="24"/>
              </w:rPr>
            </w:pPr>
          </w:p>
          <w:p w:rsidR="001D3C97" w:rsidRDefault="001D3C97">
            <w:pPr>
              <w:spacing w:line="360" w:lineRule="auto"/>
              <w:ind w:firstLineChars="200" w:firstLine="480"/>
              <w:rPr>
                <w:rFonts w:eastAsiaTheme="minorEastAsia" w:hAnsiTheme="minorEastAsia"/>
                <w:sz w:val="24"/>
                <w:szCs w:val="24"/>
              </w:rPr>
            </w:pP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运行控制</w:t>
            </w:r>
          </w:p>
          <w:p w:rsidR="001D3C97" w:rsidRDefault="001D3C97">
            <w:pPr>
              <w:spacing w:line="360" w:lineRule="auto"/>
              <w:ind w:firstLineChars="200" w:firstLine="480"/>
              <w:rPr>
                <w:rFonts w:eastAsiaTheme="minorEastAsia" w:hAnsiTheme="minorEastAsia"/>
                <w:sz w:val="24"/>
                <w:szCs w:val="24"/>
              </w:rPr>
            </w:pPr>
          </w:p>
        </w:tc>
        <w:tc>
          <w:tcPr>
            <w:tcW w:w="1209" w:type="dxa"/>
            <w:vAlign w:val="center"/>
          </w:tcPr>
          <w:p w:rsidR="001D3C97" w:rsidRDefault="001D3C97">
            <w:pPr>
              <w:spacing w:line="360" w:lineRule="auto"/>
              <w:rPr>
                <w:rFonts w:eastAsiaTheme="minorEastAsia" w:hAnsiTheme="minorEastAsia"/>
                <w:sz w:val="24"/>
                <w:szCs w:val="24"/>
              </w:rPr>
            </w:pPr>
          </w:p>
          <w:p w:rsidR="001D3C97" w:rsidRDefault="009406A7">
            <w:pPr>
              <w:spacing w:line="360" w:lineRule="auto"/>
              <w:rPr>
                <w:rFonts w:eastAsiaTheme="minorEastAsia" w:hAnsiTheme="minorEastAsia"/>
                <w:sz w:val="24"/>
                <w:szCs w:val="24"/>
              </w:rPr>
            </w:pPr>
            <w:r>
              <w:rPr>
                <w:rFonts w:eastAsiaTheme="minorEastAsia" w:hAnsiTheme="minorEastAsia" w:hint="eastAsia"/>
                <w:sz w:val="24"/>
                <w:szCs w:val="24"/>
              </w:rPr>
              <w:t>O</w:t>
            </w:r>
            <w:r w:rsidR="007616D5">
              <w:rPr>
                <w:rFonts w:eastAsiaTheme="minorEastAsia" w:hAnsiTheme="minorEastAsia" w:hint="eastAsia"/>
                <w:sz w:val="24"/>
                <w:szCs w:val="24"/>
              </w:rPr>
              <w:t>8.1</w:t>
            </w:r>
          </w:p>
        </w:tc>
        <w:tc>
          <w:tcPr>
            <w:tcW w:w="9755" w:type="dxa"/>
            <w:vAlign w:val="center"/>
          </w:tcPr>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执行的运行控制文件包括：环境因素和危险源识别评价与控制程序、废弃物控制程序、噪声控制程序、消防控制程序、资源能源控制程序、节约用水管理规定、垃圾管理规定、固体废弃物管理规定等。</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参加环保和安全知识培训，部门员工具备了基本的环保和职业健康安全防护意识。</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按公司要求人走关灯，电脑要求人走后电源切断。</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办公室内主要是电的使用，电器有漏电保护器，经常对电路、电源进行检查，没有露电</w:t>
            </w:r>
            <w:r>
              <w:rPr>
                <w:rFonts w:eastAsiaTheme="minorEastAsia" w:hAnsiTheme="minorEastAsia" w:hint="eastAsia"/>
                <w:sz w:val="24"/>
                <w:szCs w:val="24"/>
              </w:rPr>
              <w:lastRenderedPageBreak/>
              <w:t>现象发生。</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财务部垃圾主要包含可回收垃圾、硒鼓、废纸。公司配置了垃圾箱，行政部统一处理。</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办公纸张尽量采取双面打印，定期检查水管跑冒滴漏。</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经了解现场办公区域配备了灭火器等消防设施，状况正常。</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w:t>
            </w:r>
            <w:r>
              <w:rPr>
                <w:rFonts w:eastAsiaTheme="minorEastAsia" w:hAnsiTheme="minorEastAsia" w:hint="eastAsia"/>
                <w:sz w:val="24"/>
                <w:szCs w:val="24"/>
              </w:rPr>
              <w:t>年</w:t>
            </w:r>
            <w:r w:rsidR="000C26B8">
              <w:rPr>
                <w:rFonts w:eastAsiaTheme="minorEastAsia" w:hAnsiTheme="minorEastAsia" w:hint="eastAsia"/>
                <w:sz w:val="24"/>
                <w:szCs w:val="24"/>
              </w:rPr>
              <w:t>12</w:t>
            </w:r>
            <w:r>
              <w:rPr>
                <w:rFonts w:eastAsiaTheme="minorEastAsia" w:hAnsiTheme="minorEastAsia" w:hint="eastAsia"/>
                <w:sz w:val="24"/>
                <w:szCs w:val="24"/>
              </w:rPr>
              <w:t>-</w:t>
            </w:r>
            <w:r w:rsidR="000C26B8">
              <w:rPr>
                <w:rFonts w:eastAsiaTheme="minorEastAsia" w:hAnsiTheme="minorEastAsia" w:hint="eastAsia"/>
                <w:sz w:val="24"/>
                <w:szCs w:val="24"/>
              </w:rPr>
              <w:t>2021</w:t>
            </w:r>
            <w:r w:rsidR="000C26B8">
              <w:rPr>
                <w:rFonts w:eastAsiaTheme="minorEastAsia" w:hAnsiTheme="minorEastAsia" w:hint="eastAsia"/>
                <w:sz w:val="24"/>
                <w:szCs w:val="24"/>
              </w:rPr>
              <w:t>年</w:t>
            </w:r>
            <w:r w:rsidR="009406A7">
              <w:rPr>
                <w:rFonts w:eastAsiaTheme="minorEastAsia" w:hAnsiTheme="minorEastAsia" w:hint="eastAsia"/>
                <w:sz w:val="24"/>
                <w:szCs w:val="24"/>
              </w:rPr>
              <w:t>5</w:t>
            </w:r>
            <w:r>
              <w:rPr>
                <w:rFonts w:eastAsiaTheme="minorEastAsia" w:hAnsiTheme="minorEastAsia" w:hint="eastAsia"/>
                <w:sz w:val="24"/>
                <w:szCs w:val="24"/>
              </w:rPr>
              <w:t>月环境安全运行检查记录，检查结果均正常，</w:t>
            </w:r>
            <w:r w:rsidR="009406A7">
              <w:rPr>
                <w:rFonts w:eastAsiaTheme="minorEastAsia" w:hAnsiTheme="minorEastAsia"/>
                <w:sz w:val="24"/>
                <w:szCs w:val="24"/>
              </w:rPr>
              <w:t xml:space="preserve"> </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部门运行控制基本符合策划要求。</w:t>
            </w:r>
          </w:p>
          <w:p w:rsidR="001D3C97" w:rsidRDefault="001D3C97">
            <w:pPr>
              <w:spacing w:line="360" w:lineRule="auto"/>
              <w:ind w:firstLineChars="200" w:firstLine="480"/>
              <w:rPr>
                <w:rFonts w:eastAsiaTheme="minorEastAsia" w:hAnsiTheme="minorEastAsia"/>
                <w:sz w:val="24"/>
                <w:szCs w:val="24"/>
              </w:rPr>
            </w:pPr>
          </w:p>
        </w:tc>
        <w:tc>
          <w:tcPr>
            <w:tcW w:w="1585" w:type="dxa"/>
          </w:tcPr>
          <w:p w:rsidR="001D3C97" w:rsidRDefault="007616D5">
            <w:r>
              <w:lastRenderedPageBreak/>
              <w:t>符合</w:t>
            </w:r>
          </w:p>
        </w:tc>
      </w:tr>
      <w:tr w:rsidR="001D3C97">
        <w:trPr>
          <w:trHeight w:val="689"/>
        </w:trPr>
        <w:tc>
          <w:tcPr>
            <w:tcW w:w="2160" w:type="dxa"/>
            <w:vAlign w:val="center"/>
          </w:tcPr>
          <w:p w:rsidR="001D3C97" w:rsidRDefault="007616D5">
            <w:pPr>
              <w:pStyle w:val="1"/>
              <w:rPr>
                <w:rFonts w:eastAsiaTheme="minorEastAsia"/>
                <w:b w:val="0"/>
                <w:bCs w:val="0"/>
                <w:color w:val="000000"/>
                <w:kern w:val="2"/>
                <w:sz w:val="24"/>
                <w:szCs w:val="24"/>
                <w:highlight w:val="yellow"/>
              </w:rPr>
            </w:pPr>
            <w:r>
              <w:rPr>
                <w:rFonts w:eastAsiaTheme="minorEastAsia" w:hAnsiTheme="minorEastAsia" w:hint="eastAsia"/>
                <w:b w:val="0"/>
                <w:bCs w:val="0"/>
                <w:kern w:val="2"/>
                <w:sz w:val="24"/>
                <w:szCs w:val="24"/>
              </w:rPr>
              <w:lastRenderedPageBreak/>
              <w:t>OHSMS</w:t>
            </w:r>
            <w:r>
              <w:rPr>
                <w:rFonts w:eastAsiaTheme="minorEastAsia" w:hAnsiTheme="minorEastAsia" w:hint="eastAsia"/>
                <w:b w:val="0"/>
                <w:bCs w:val="0"/>
                <w:kern w:val="2"/>
                <w:sz w:val="24"/>
                <w:szCs w:val="24"/>
              </w:rPr>
              <w:t>运行控制相关财务支出证据</w:t>
            </w:r>
          </w:p>
        </w:tc>
        <w:tc>
          <w:tcPr>
            <w:tcW w:w="1209" w:type="dxa"/>
            <w:vAlign w:val="center"/>
          </w:tcPr>
          <w:p w:rsidR="001D3C97" w:rsidRDefault="001D3C97">
            <w:pPr>
              <w:rPr>
                <w:rFonts w:eastAsiaTheme="minorEastAsia"/>
                <w:color w:val="000000"/>
                <w:sz w:val="24"/>
                <w:szCs w:val="24"/>
              </w:rPr>
            </w:pPr>
          </w:p>
        </w:tc>
        <w:tc>
          <w:tcPr>
            <w:tcW w:w="9755" w:type="dxa"/>
            <w:vAlign w:val="center"/>
          </w:tcPr>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w:t>
            </w:r>
            <w:r>
              <w:rPr>
                <w:rFonts w:eastAsiaTheme="minorEastAsia" w:hAnsiTheme="minorEastAsia" w:hint="eastAsia"/>
                <w:sz w:val="24"/>
                <w:szCs w:val="24"/>
              </w:rPr>
              <w:t>2020</w:t>
            </w:r>
            <w:r>
              <w:rPr>
                <w:rFonts w:eastAsiaTheme="minorEastAsia" w:hAnsiTheme="minorEastAsia" w:hint="eastAsia"/>
                <w:sz w:val="24"/>
                <w:szCs w:val="24"/>
              </w:rPr>
              <w:t>年</w:t>
            </w:r>
            <w:r w:rsidR="000C26B8">
              <w:rPr>
                <w:rFonts w:eastAsiaTheme="minorEastAsia" w:hAnsiTheme="minorEastAsia" w:hint="eastAsia"/>
                <w:sz w:val="24"/>
                <w:szCs w:val="24"/>
              </w:rPr>
              <w:t>-2021</w:t>
            </w:r>
            <w:r w:rsidR="000C26B8">
              <w:rPr>
                <w:rFonts w:eastAsiaTheme="minorEastAsia" w:hAnsiTheme="minorEastAsia" w:hint="eastAsia"/>
                <w:sz w:val="24"/>
                <w:szCs w:val="24"/>
              </w:rPr>
              <w:t>年</w:t>
            </w:r>
            <w:r>
              <w:rPr>
                <w:rFonts w:eastAsiaTheme="minorEastAsia" w:hAnsiTheme="minorEastAsia" w:hint="eastAsia"/>
                <w:sz w:val="24"/>
                <w:szCs w:val="24"/>
              </w:rPr>
              <w:t>安环费用统计表，包括员工意外</w:t>
            </w:r>
            <w:r w:rsidR="000C26B8">
              <w:rPr>
                <w:rFonts w:eastAsiaTheme="minorEastAsia" w:hAnsiTheme="minorEastAsia" w:hint="eastAsia"/>
                <w:sz w:val="24"/>
                <w:szCs w:val="24"/>
              </w:rPr>
              <w:t>保险费</w:t>
            </w:r>
            <w:r w:rsidR="009406A7">
              <w:rPr>
                <w:rFonts w:eastAsiaTheme="minorEastAsia" w:hAnsiTheme="minorEastAsia" w:hint="eastAsia"/>
                <w:sz w:val="24"/>
                <w:szCs w:val="24"/>
              </w:rPr>
              <w:t>30</w:t>
            </w:r>
            <w:r w:rsidR="000C26B8">
              <w:rPr>
                <w:rFonts w:eastAsiaTheme="minorEastAsia" w:hAnsiTheme="minorEastAsia" w:hint="eastAsia"/>
                <w:sz w:val="24"/>
                <w:szCs w:val="24"/>
              </w:rPr>
              <w:t>万元、</w:t>
            </w:r>
            <w:r w:rsidR="009406A7">
              <w:rPr>
                <w:rFonts w:eastAsiaTheme="minorEastAsia" w:hAnsiTheme="minorEastAsia" w:hint="eastAsia"/>
                <w:sz w:val="24"/>
                <w:szCs w:val="24"/>
              </w:rPr>
              <w:t>安全环保教育等培训费用</w:t>
            </w:r>
            <w:r w:rsidR="009406A7">
              <w:rPr>
                <w:rFonts w:eastAsiaTheme="minorEastAsia" w:hAnsiTheme="minorEastAsia" w:hint="eastAsia"/>
                <w:sz w:val="24"/>
                <w:szCs w:val="24"/>
              </w:rPr>
              <w:t>10</w:t>
            </w:r>
            <w:r w:rsidR="009406A7">
              <w:rPr>
                <w:rFonts w:eastAsiaTheme="minorEastAsia" w:hAnsiTheme="minorEastAsia" w:hint="eastAsia"/>
                <w:sz w:val="24"/>
                <w:szCs w:val="24"/>
              </w:rPr>
              <w:t>万元、</w:t>
            </w:r>
            <w:r w:rsidR="000C26B8">
              <w:rPr>
                <w:rFonts w:eastAsiaTheme="minorEastAsia" w:hAnsiTheme="minorEastAsia" w:hint="eastAsia"/>
                <w:sz w:val="24"/>
                <w:szCs w:val="24"/>
              </w:rPr>
              <w:t>环保</w:t>
            </w:r>
            <w:r w:rsidR="009406A7">
              <w:rPr>
                <w:rFonts w:eastAsiaTheme="minorEastAsia" w:hAnsiTheme="minorEastAsia" w:hint="eastAsia"/>
                <w:sz w:val="24"/>
                <w:szCs w:val="24"/>
              </w:rPr>
              <w:t>设施</w:t>
            </w:r>
            <w:r w:rsidR="009406A7">
              <w:rPr>
                <w:rFonts w:eastAsiaTheme="minorEastAsia" w:hAnsiTheme="minorEastAsia" w:hint="eastAsia"/>
                <w:sz w:val="24"/>
                <w:szCs w:val="24"/>
              </w:rPr>
              <w:t>/</w:t>
            </w:r>
            <w:r w:rsidR="009406A7">
              <w:rPr>
                <w:rFonts w:eastAsiaTheme="minorEastAsia" w:hAnsiTheme="minorEastAsia" w:hint="eastAsia"/>
                <w:sz w:val="24"/>
                <w:szCs w:val="24"/>
              </w:rPr>
              <w:t>消防设施购买</w:t>
            </w:r>
            <w:r w:rsidR="009406A7">
              <w:rPr>
                <w:rFonts w:eastAsiaTheme="minorEastAsia" w:hAnsiTheme="minorEastAsia" w:hint="eastAsia"/>
                <w:sz w:val="24"/>
                <w:szCs w:val="24"/>
              </w:rPr>
              <w:t>/</w:t>
            </w:r>
            <w:r w:rsidR="009406A7">
              <w:rPr>
                <w:rFonts w:eastAsiaTheme="minorEastAsia" w:hAnsiTheme="minorEastAsia" w:hint="eastAsia"/>
                <w:sz w:val="24"/>
                <w:szCs w:val="24"/>
              </w:rPr>
              <w:t>维修</w:t>
            </w:r>
            <w:r w:rsidR="000C26B8">
              <w:rPr>
                <w:rFonts w:eastAsiaTheme="minorEastAsia" w:hAnsiTheme="minorEastAsia" w:hint="eastAsia"/>
                <w:sz w:val="24"/>
                <w:szCs w:val="24"/>
              </w:rPr>
              <w:t>费用、</w:t>
            </w:r>
            <w:r w:rsidR="009406A7">
              <w:rPr>
                <w:rFonts w:eastAsiaTheme="minorEastAsia" w:hAnsiTheme="minorEastAsia" w:hint="eastAsia"/>
                <w:sz w:val="24"/>
                <w:szCs w:val="24"/>
              </w:rPr>
              <w:t>垃圾处理费用</w:t>
            </w:r>
            <w:r>
              <w:rPr>
                <w:rFonts w:eastAsiaTheme="minorEastAsia" w:hAnsiTheme="minorEastAsia" w:hint="eastAsia"/>
                <w:sz w:val="24"/>
                <w:szCs w:val="24"/>
              </w:rPr>
              <w:t>、劳保用品</w:t>
            </w:r>
            <w:r w:rsidR="009406A7">
              <w:rPr>
                <w:rFonts w:eastAsiaTheme="minorEastAsia" w:hAnsiTheme="minorEastAsia" w:hint="eastAsia"/>
                <w:sz w:val="24"/>
                <w:szCs w:val="24"/>
              </w:rPr>
              <w:t>费用等</w:t>
            </w:r>
            <w:r>
              <w:rPr>
                <w:rFonts w:eastAsiaTheme="minorEastAsia" w:hAnsiTheme="minorEastAsia" w:hint="eastAsia"/>
                <w:sz w:val="24"/>
                <w:szCs w:val="24"/>
              </w:rPr>
              <w:t>。</w:t>
            </w:r>
            <w:r w:rsidR="000C26B8">
              <w:rPr>
                <w:rFonts w:eastAsiaTheme="minorEastAsia" w:hAnsiTheme="minorEastAsia" w:hint="eastAsia"/>
                <w:sz w:val="24"/>
                <w:szCs w:val="24"/>
              </w:rPr>
              <w:t>共计</w:t>
            </w:r>
            <w:r w:rsidR="009406A7">
              <w:rPr>
                <w:rFonts w:eastAsiaTheme="minorEastAsia" w:hAnsiTheme="minorEastAsia" w:hint="eastAsia"/>
                <w:sz w:val="24"/>
                <w:szCs w:val="24"/>
              </w:rPr>
              <w:t>约</w:t>
            </w:r>
            <w:r w:rsidR="000C26B8">
              <w:rPr>
                <w:rFonts w:eastAsiaTheme="minorEastAsia" w:hAnsiTheme="minorEastAsia" w:hint="eastAsia"/>
                <w:sz w:val="24"/>
                <w:szCs w:val="24"/>
              </w:rPr>
              <w:t>1</w:t>
            </w:r>
            <w:r w:rsidR="009406A7">
              <w:rPr>
                <w:rFonts w:eastAsiaTheme="minorEastAsia" w:hAnsiTheme="minorEastAsia" w:hint="eastAsia"/>
                <w:sz w:val="24"/>
                <w:szCs w:val="24"/>
              </w:rPr>
              <w:t>10</w:t>
            </w:r>
            <w:r w:rsidR="000C26B8">
              <w:rPr>
                <w:rFonts w:eastAsiaTheme="minorEastAsia" w:hAnsiTheme="minorEastAsia" w:hint="eastAsia"/>
                <w:sz w:val="24"/>
                <w:szCs w:val="24"/>
              </w:rPr>
              <w:t>万元</w:t>
            </w:r>
            <w:r>
              <w:rPr>
                <w:rFonts w:eastAsiaTheme="minorEastAsia" w:hAnsiTheme="minorEastAsia" w:hint="eastAsia"/>
                <w:sz w:val="24"/>
                <w:szCs w:val="24"/>
              </w:rPr>
              <w:t>。</w:t>
            </w:r>
          </w:p>
          <w:p w:rsidR="001D3C97" w:rsidRDefault="007616D5" w:rsidP="009406A7">
            <w:pPr>
              <w:spacing w:line="360"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抽查</w:t>
            </w:r>
            <w:r w:rsidR="00E17F8A">
              <w:rPr>
                <w:rFonts w:eastAsiaTheme="minorEastAsia" w:hAnsiTheme="minorEastAsia" w:hint="eastAsia"/>
                <w:sz w:val="24"/>
                <w:szCs w:val="24"/>
              </w:rPr>
              <w:t>2021.</w:t>
            </w:r>
            <w:r w:rsidR="004A585F">
              <w:rPr>
                <w:rFonts w:eastAsiaTheme="minorEastAsia" w:hAnsiTheme="minorEastAsia" w:hint="eastAsia"/>
                <w:sz w:val="24"/>
                <w:szCs w:val="24"/>
              </w:rPr>
              <w:t>2</w:t>
            </w:r>
            <w:r w:rsidR="00E17F8A">
              <w:rPr>
                <w:rFonts w:eastAsiaTheme="minorEastAsia" w:hAnsiTheme="minorEastAsia" w:hint="eastAsia"/>
                <w:sz w:val="24"/>
                <w:szCs w:val="24"/>
              </w:rPr>
              <w:t>.--</w:t>
            </w:r>
            <w:r w:rsidR="004A585F">
              <w:rPr>
                <w:rFonts w:eastAsiaTheme="minorEastAsia" w:hAnsiTheme="minorEastAsia" w:hint="eastAsia"/>
                <w:sz w:val="24"/>
                <w:szCs w:val="24"/>
              </w:rPr>
              <w:t>4</w:t>
            </w:r>
            <w:r>
              <w:rPr>
                <w:rFonts w:eastAsiaTheme="minorEastAsia" w:hAnsiTheme="minorEastAsia" w:hint="eastAsia"/>
                <w:sz w:val="24"/>
                <w:szCs w:val="24"/>
              </w:rPr>
              <w:t>月社保缴费证明</w:t>
            </w:r>
            <w:r w:rsidR="009406A7">
              <w:rPr>
                <w:rFonts w:eastAsiaTheme="minorEastAsia" w:hAnsiTheme="minorEastAsia" w:hint="eastAsia"/>
                <w:sz w:val="24"/>
                <w:szCs w:val="24"/>
              </w:rPr>
              <w:t>。每月度对主要人员交了社保。</w:t>
            </w:r>
          </w:p>
          <w:p w:rsidR="004A585F" w:rsidRPr="004A585F" w:rsidRDefault="004A585F" w:rsidP="004A585F">
            <w:pPr>
              <w:pStyle w:val="1"/>
            </w:pPr>
            <w:r>
              <w:rPr>
                <w:noProof/>
              </w:rPr>
              <w:drawing>
                <wp:inline distT="0" distB="0" distL="0" distR="0">
                  <wp:extent cx="3705225" cy="3057525"/>
                  <wp:effectExtent l="19050" t="0" r="9525" b="0"/>
                  <wp:docPr id="3" name="图片 2" descr="C:\Users\ADMINI~1.USE\AppData\Local\Temp\1622965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22965070.png"/>
                          <pic:cNvPicPr>
                            <a:picLocks noChangeAspect="1" noChangeArrowheads="1"/>
                          </pic:cNvPicPr>
                        </pic:nvPicPr>
                        <pic:blipFill>
                          <a:blip r:embed="rId8"/>
                          <a:srcRect/>
                          <a:stretch>
                            <a:fillRect/>
                          </a:stretch>
                        </pic:blipFill>
                        <pic:spPr bwMode="auto">
                          <a:xfrm>
                            <a:off x="0" y="0"/>
                            <a:ext cx="3705225" cy="3057525"/>
                          </a:xfrm>
                          <a:prstGeom prst="rect">
                            <a:avLst/>
                          </a:prstGeom>
                          <a:noFill/>
                          <a:ln w="9525">
                            <a:noFill/>
                            <a:miter lim="800000"/>
                            <a:headEnd/>
                            <a:tailEnd/>
                          </a:ln>
                        </pic:spPr>
                      </pic:pic>
                    </a:graphicData>
                  </a:graphic>
                </wp:inline>
              </w:drawing>
            </w:r>
            <w:r>
              <w:rPr>
                <w:noProof/>
              </w:rPr>
              <w:lastRenderedPageBreak/>
              <w:drawing>
                <wp:inline distT="0" distB="0" distL="0" distR="0">
                  <wp:extent cx="3648075" cy="3048000"/>
                  <wp:effectExtent l="19050" t="0" r="9525" b="0"/>
                  <wp:docPr id="2" name="图片 1" descr="C:\Users\ADMINI~1.USE\AppData\Local\Temp\1622965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22965035.png"/>
                          <pic:cNvPicPr>
                            <a:picLocks noChangeAspect="1" noChangeArrowheads="1"/>
                          </pic:cNvPicPr>
                        </pic:nvPicPr>
                        <pic:blipFill>
                          <a:blip r:embed="rId9"/>
                          <a:srcRect/>
                          <a:stretch>
                            <a:fillRect/>
                          </a:stretch>
                        </pic:blipFill>
                        <pic:spPr bwMode="auto">
                          <a:xfrm>
                            <a:off x="0" y="0"/>
                            <a:ext cx="3648075" cy="3048000"/>
                          </a:xfrm>
                          <a:prstGeom prst="rect">
                            <a:avLst/>
                          </a:prstGeom>
                          <a:noFill/>
                          <a:ln w="9525">
                            <a:noFill/>
                            <a:miter lim="800000"/>
                            <a:headEnd/>
                            <a:tailEnd/>
                          </a:ln>
                        </pic:spPr>
                      </pic:pic>
                    </a:graphicData>
                  </a:graphic>
                </wp:inline>
              </w:drawing>
            </w:r>
          </w:p>
        </w:tc>
        <w:tc>
          <w:tcPr>
            <w:tcW w:w="1585" w:type="dxa"/>
          </w:tcPr>
          <w:p w:rsidR="001D3C97" w:rsidRDefault="007616D5">
            <w:r>
              <w:rPr>
                <w:rFonts w:hint="eastAsia"/>
              </w:rPr>
              <w:lastRenderedPageBreak/>
              <w:t>符合</w:t>
            </w:r>
            <w:bookmarkStart w:id="0" w:name="_GoBack"/>
            <w:bookmarkEnd w:id="0"/>
          </w:p>
        </w:tc>
      </w:tr>
    </w:tbl>
    <w:p w:rsidR="001D3C97" w:rsidRDefault="001D3C97">
      <w:pPr>
        <w:jc w:val="center"/>
      </w:pPr>
    </w:p>
    <w:p w:rsidR="001D3C97" w:rsidRDefault="001D3C97">
      <w:pPr>
        <w:jc w:val="center"/>
      </w:pPr>
    </w:p>
    <w:p w:rsidR="001D3C97" w:rsidRDefault="001D3C97"/>
    <w:p w:rsidR="001D3C97" w:rsidRDefault="007616D5">
      <w:pPr>
        <w:pStyle w:val="a4"/>
      </w:pPr>
      <w:r>
        <w:rPr>
          <w:rFonts w:hint="eastAsia"/>
        </w:rPr>
        <w:t>说明：不符合标注</w:t>
      </w:r>
      <w:r>
        <w:t>N</w:t>
      </w:r>
    </w:p>
    <w:p w:rsidR="001D3C97" w:rsidRDefault="001D3C97"/>
    <w:p w:rsidR="001D3C97" w:rsidRDefault="001D3C97">
      <w:pPr>
        <w:pStyle w:val="a4"/>
      </w:pPr>
    </w:p>
    <w:sectPr w:rsidR="001D3C97" w:rsidSect="001D3C9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D6A" w:rsidRDefault="00166D6A" w:rsidP="001D3C97">
      <w:r>
        <w:separator/>
      </w:r>
    </w:p>
  </w:endnote>
  <w:endnote w:type="continuationSeparator" w:id="1">
    <w:p w:rsidR="00166D6A" w:rsidRDefault="00166D6A" w:rsidP="001D3C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3C97" w:rsidRDefault="000B692D">
            <w:pPr>
              <w:pStyle w:val="a4"/>
              <w:jc w:val="center"/>
            </w:pPr>
            <w:r>
              <w:rPr>
                <w:b/>
                <w:sz w:val="24"/>
                <w:szCs w:val="24"/>
              </w:rPr>
              <w:fldChar w:fldCharType="begin"/>
            </w:r>
            <w:r w:rsidR="007616D5">
              <w:rPr>
                <w:b/>
              </w:rPr>
              <w:instrText>PAGE</w:instrText>
            </w:r>
            <w:r>
              <w:rPr>
                <w:b/>
                <w:sz w:val="24"/>
                <w:szCs w:val="24"/>
              </w:rPr>
              <w:fldChar w:fldCharType="separate"/>
            </w:r>
            <w:r w:rsidR="004A585F">
              <w:rPr>
                <w:b/>
                <w:noProof/>
              </w:rPr>
              <w:t>5</w:t>
            </w:r>
            <w:r>
              <w:rPr>
                <w:b/>
                <w:sz w:val="24"/>
                <w:szCs w:val="24"/>
              </w:rPr>
              <w:fldChar w:fldCharType="end"/>
            </w:r>
            <w:r w:rsidR="007616D5">
              <w:rPr>
                <w:lang w:val="zh-CN"/>
              </w:rPr>
              <w:t xml:space="preserve"> / </w:t>
            </w:r>
            <w:r>
              <w:rPr>
                <w:b/>
                <w:sz w:val="24"/>
                <w:szCs w:val="24"/>
              </w:rPr>
              <w:fldChar w:fldCharType="begin"/>
            </w:r>
            <w:r w:rsidR="007616D5">
              <w:rPr>
                <w:b/>
              </w:rPr>
              <w:instrText>NUMPAGES</w:instrText>
            </w:r>
            <w:r>
              <w:rPr>
                <w:b/>
                <w:sz w:val="24"/>
                <w:szCs w:val="24"/>
              </w:rPr>
              <w:fldChar w:fldCharType="separate"/>
            </w:r>
            <w:r w:rsidR="004A585F">
              <w:rPr>
                <w:b/>
                <w:noProof/>
              </w:rPr>
              <w:t>5</w:t>
            </w:r>
            <w:r>
              <w:rPr>
                <w:b/>
                <w:sz w:val="24"/>
                <w:szCs w:val="24"/>
              </w:rPr>
              <w:fldChar w:fldCharType="end"/>
            </w:r>
          </w:p>
        </w:sdtContent>
      </w:sdt>
    </w:sdtContent>
  </w:sdt>
  <w:p w:rsidR="001D3C97" w:rsidRDefault="001D3C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D6A" w:rsidRDefault="00166D6A" w:rsidP="001D3C97">
      <w:r>
        <w:separator/>
      </w:r>
    </w:p>
  </w:footnote>
  <w:footnote w:type="continuationSeparator" w:id="1">
    <w:p w:rsidR="00166D6A" w:rsidRDefault="00166D6A" w:rsidP="001D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97" w:rsidRDefault="007616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3C97" w:rsidRDefault="000B692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1D3C97" w:rsidRDefault="007616D5">
                <w:r>
                  <w:rPr>
                    <w:rFonts w:hint="eastAsia"/>
                    <w:sz w:val="18"/>
                    <w:szCs w:val="18"/>
                  </w:rPr>
                  <w:t>ISC-</w:t>
                </w:r>
                <w:r>
                  <w:rPr>
                    <w:sz w:val="18"/>
                    <w:szCs w:val="18"/>
                  </w:rPr>
                  <w:t>B</w:t>
                </w:r>
                <w:r>
                  <w:rPr>
                    <w:rFonts w:hint="eastAsia"/>
                    <w:sz w:val="18"/>
                    <w:szCs w:val="18"/>
                  </w:rPr>
                  <w:t>-</w:t>
                </w:r>
                <w:r>
                  <w:rPr>
                    <w:sz w:val="18"/>
                    <w:szCs w:val="18"/>
                  </w:rPr>
                  <w:t>I</w:t>
                </w:r>
                <w:r w:rsidR="009406A7">
                  <w:rPr>
                    <w:sz w:val="18"/>
                    <w:szCs w:val="18"/>
                  </w:rPr>
                  <w:t>I</w:t>
                </w:r>
                <w:r w:rsidR="009406A7">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616D5">
      <w:rPr>
        <w:rStyle w:val="CharChar1"/>
        <w:rFonts w:hint="default"/>
        <w:w w:val="90"/>
      </w:rPr>
      <w:t>Beijing International Standard united Certification Co.,Ltd.</w:t>
    </w:r>
  </w:p>
  <w:p w:rsidR="001D3C97" w:rsidRDefault="001D3C9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5E15"/>
    <w:rsid w:val="00036062"/>
    <w:rsid w:val="00066763"/>
    <w:rsid w:val="00087484"/>
    <w:rsid w:val="00092533"/>
    <w:rsid w:val="000B692D"/>
    <w:rsid w:val="000C26B8"/>
    <w:rsid w:val="000C70C7"/>
    <w:rsid w:val="000F086F"/>
    <w:rsid w:val="00120AE6"/>
    <w:rsid w:val="00157017"/>
    <w:rsid w:val="00166D6A"/>
    <w:rsid w:val="001B65B6"/>
    <w:rsid w:val="001C77F1"/>
    <w:rsid w:val="001D3C97"/>
    <w:rsid w:val="001D4004"/>
    <w:rsid w:val="00272E91"/>
    <w:rsid w:val="0027655C"/>
    <w:rsid w:val="002C4576"/>
    <w:rsid w:val="003831AB"/>
    <w:rsid w:val="003A7E8F"/>
    <w:rsid w:val="003F3881"/>
    <w:rsid w:val="004244A6"/>
    <w:rsid w:val="00441AB2"/>
    <w:rsid w:val="00445BA4"/>
    <w:rsid w:val="00446384"/>
    <w:rsid w:val="00457683"/>
    <w:rsid w:val="0046592B"/>
    <w:rsid w:val="004A585F"/>
    <w:rsid w:val="004D5D26"/>
    <w:rsid w:val="00572FAE"/>
    <w:rsid w:val="005A6AF6"/>
    <w:rsid w:val="005C2830"/>
    <w:rsid w:val="005D7407"/>
    <w:rsid w:val="00610E50"/>
    <w:rsid w:val="006531B6"/>
    <w:rsid w:val="00692248"/>
    <w:rsid w:val="00693044"/>
    <w:rsid w:val="006E74E2"/>
    <w:rsid w:val="006F653C"/>
    <w:rsid w:val="00724FA6"/>
    <w:rsid w:val="00747E87"/>
    <w:rsid w:val="00755F46"/>
    <w:rsid w:val="007616D5"/>
    <w:rsid w:val="00774E8D"/>
    <w:rsid w:val="007B0CA6"/>
    <w:rsid w:val="00805ACB"/>
    <w:rsid w:val="00816586"/>
    <w:rsid w:val="008432E7"/>
    <w:rsid w:val="00871F49"/>
    <w:rsid w:val="00905C05"/>
    <w:rsid w:val="00915139"/>
    <w:rsid w:val="009406A7"/>
    <w:rsid w:val="009539F1"/>
    <w:rsid w:val="0096202E"/>
    <w:rsid w:val="009816B6"/>
    <w:rsid w:val="009F2DA6"/>
    <w:rsid w:val="00A074DB"/>
    <w:rsid w:val="00A405AC"/>
    <w:rsid w:val="00AC5EEA"/>
    <w:rsid w:val="00AD342E"/>
    <w:rsid w:val="00AE34EE"/>
    <w:rsid w:val="00B22820"/>
    <w:rsid w:val="00B33933"/>
    <w:rsid w:val="00BA7754"/>
    <w:rsid w:val="00BB01DB"/>
    <w:rsid w:val="00BB7084"/>
    <w:rsid w:val="00BF18A5"/>
    <w:rsid w:val="00C017BA"/>
    <w:rsid w:val="00C451D2"/>
    <w:rsid w:val="00CB245B"/>
    <w:rsid w:val="00CB6033"/>
    <w:rsid w:val="00CC5D45"/>
    <w:rsid w:val="00D158EC"/>
    <w:rsid w:val="00D45591"/>
    <w:rsid w:val="00E162D3"/>
    <w:rsid w:val="00E17F8A"/>
    <w:rsid w:val="00E2118E"/>
    <w:rsid w:val="00E33843"/>
    <w:rsid w:val="00E42242"/>
    <w:rsid w:val="00EA11FE"/>
    <w:rsid w:val="00EC2974"/>
    <w:rsid w:val="00F01F55"/>
    <w:rsid w:val="00F0211B"/>
    <w:rsid w:val="00F126B4"/>
    <w:rsid w:val="00F13E3B"/>
    <w:rsid w:val="00F23846"/>
    <w:rsid w:val="00F346E2"/>
    <w:rsid w:val="00F40AC7"/>
    <w:rsid w:val="00F46EF6"/>
    <w:rsid w:val="00F51309"/>
    <w:rsid w:val="00F638FD"/>
    <w:rsid w:val="00FA4DD0"/>
    <w:rsid w:val="00FA6258"/>
    <w:rsid w:val="00FA6599"/>
    <w:rsid w:val="00FD5E6E"/>
    <w:rsid w:val="00FD689B"/>
    <w:rsid w:val="013A7E44"/>
    <w:rsid w:val="02324284"/>
    <w:rsid w:val="03F77945"/>
    <w:rsid w:val="04385766"/>
    <w:rsid w:val="04766AC2"/>
    <w:rsid w:val="06970AFE"/>
    <w:rsid w:val="07487397"/>
    <w:rsid w:val="08CF0F53"/>
    <w:rsid w:val="08F36905"/>
    <w:rsid w:val="0B313273"/>
    <w:rsid w:val="0C9A6779"/>
    <w:rsid w:val="0CAC683E"/>
    <w:rsid w:val="11412443"/>
    <w:rsid w:val="11AF5DB5"/>
    <w:rsid w:val="1241282B"/>
    <w:rsid w:val="132952D9"/>
    <w:rsid w:val="13C87237"/>
    <w:rsid w:val="19182EDE"/>
    <w:rsid w:val="1A986916"/>
    <w:rsid w:val="1B1D7164"/>
    <w:rsid w:val="1D4B03F7"/>
    <w:rsid w:val="1E5C6207"/>
    <w:rsid w:val="207A5D18"/>
    <w:rsid w:val="208B1F76"/>
    <w:rsid w:val="2150673F"/>
    <w:rsid w:val="22501C4B"/>
    <w:rsid w:val="233F2969"/>
    <w:rsid w:val="237B4D86"/>
    <w:rsid w:val="255162E3"/>
    <w:rsid w:val="268C629C"/>
    <w:rsid w:val="27107237"/>
    <w:rsid w:val="2879556F"/>
    <w:rsid w:val="29CB4ED1"/>
    <w:rsid w:val="29D207EC"/>
    <w:rsid w:val="2A3F4B19"/>
    <w:rsid w:val="2B7A1AB5"/>
    <w:rsid w:val="2C207910"/>
    <w:rsid w:val="2D131158"/>
    <w:rsid w:val="302A27B8"/>
    <w:rsid w:val="309605F0"/>
    <w:rsid w:val="3163712D"/>
    <w:rsid w:val="31EB0541"/>
    <w:rsid w:val="33767124"/>
    <w:rsid w:val="34BA1621"/>
    <w:rsid w:val="35302B3B"/>
    <w:rsid w:val="357B1876"/>
    <w:rsid w:val="36DC02EF"/>
    <w:rsid w:val="38D54ABD"/>
    <w:rsid w:val="3B11388E"/>
    <w:rsid w:val="3BEE7108"/>
    <w:rsid w:val="3CD23FF2"/>
    <w:rsid w:val="3D6C58CB"/>
    <w:rsid w:val="3DAC5AF2"/>
    <w:rsid w:val="3EC219FE"/>
    <w:rsid w:val="3F9F1564"/>
    <w:rsid w:val="40A23418"/>
    <w:rsid w:val="41427DE1"/>
    <w:rsid w:val="428C10B6"/>
    <w:rsid w:val="44A837BF"/>
    <w:rsid w:val="44CC2562"/>
    <w:rsid w:val="44FD16F0"/>
    <w:rsid w:val="456D5E6F"/>
    <w:rsid w:val="46760E50"/>
    <w:rsid w:val="46B755FD"/>
    <w:rsid w:val="49455067"/>
    <w:rsid w:val="49852CF2"/>
    <w:rsid w:val="4B531CE7"/>
    <w:rsid w:val="4BCB45E4"/>
    <w:rsid w:val="4C306E9A"/>
    <w:rsid w:val="4E8B53DA"/>
    <w:rsid w:val="50016283"/>
    <w:rsid w:val="50E67D8F"/>
    <w:rsid w:val="51825E31"/>
    <w:rsid w:val="53062F46"/>
    <w:rsid w:val="531752F5"/>
    <w:rsid w:val="53311D77"/>
    <w:rsid w:val="53705CCA"/>
    <w:rsid w:val="54913F28"/>
    <w:rsid w:val="550067DF"/>
    <w:rsid w:val="55AF03F4"/>
    <w:rsid w:val="58A85F15"/>
    <w:rsid w:val="58AB2B75"/>
    <w:rsid w:val="59580A2A"/>
    <w:rsid w:val="59A16655"/>
    <w:rsid w:val="5C0F5D41"/>
    <w:rsid w:val="5E165DF1"/>
    <w:rsid w:val="5FEB55E5"/>
    <w:rsid w:val="621C16B4"/>
    <w:rsid w:val="62BD7723"/>
    <w:rsid w:val="653E26B9"/>
    <w:rsid w:val="655A4224"/>
    <w:rsid w:val="65C902AB"/>
    <w:rsid w:val="68971762"/>
    <w:rsid w:val="69D27068"/>
    <w:rsid w:val="6A2F719D"/>
    <w:rsid w:val="6CDF5D3B"/>
    <w:rsid w:val="6F0D3CB2"/>
    <w:rsid w:val="724111D5"/>
    <w:rsid w:val="729722F9"/>
    <w:rsid w:val="778659CE"/>
    <w:rsid w:val="7A6A4EF1"/>
    <w:rsid w:val="7BC04D34"/>
    <w:rsid w:val="7C217737"/>
    <w:rsid w:val="7C353E36"/>
    <w:rsid w:val="7C544EB1"/>
    <w:rsid w:val="7CA9592D"/>
    <w:rsid w:val="7D84113F"/>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D3C97"/>
    <w:pPr>
      <w:widowControl w:val="0"/>
      <w:jc w:val="both"/>
    </w:pPr>
    <w:rPr>
      <w:rFonts w:ascii="Times New Roman" w:hAnsi="Times New Roman"/>
      <w:kern w:val="2"/>
      <w:sz w:val="21"/>
    </w:rPr>
  </w:style>
  <w:style w:type="paragraph" w:styleId="1">
    <w:name w:val="heading 1"/>
    <w:basedOn w:val="a"/>
    <w:next w:val="a"/>
    <w:qFormat/>
    <w:rsid w:val="001D3C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D3C97"/>
    <w:rPr>
      <w:sz w:val="18"/>
      <w:szCs w:val="18"/>
    </w:rPr>
  </w:style>
  <w:style w:type="paragraph" w:styleId="a4">
    <w:name w:val="footer"/>
    <w:basedOn w:val="a"/>
    <w:link w:val="Char0"/>
    <w:uiPriority w:val="99"/>
    <w:unhideWhenUsed/>
    <w:qFormat/>
    <w:rsid w:val="001D3C97"/>
    <w:pPr>
      <w:tabs>
        <w:tab w:val="center" w:pos="4153"/>
        <w:tab w:val="right" w:pos="8306"/>
      </w:tabs>
      <w:snapToGrid w:val="0"/>
      <w:jc w:val="left"/>
    </w:pPr>
    <w:rPr>
      <w:sz w:val="18"/>
      <w:szCs w:val="18"/>
    </w:rPr>
  </w:style>
  <w:style w:type="paragraph" w:styleId="a5">
    <w:name w:val="header"/>
    <w:basedOn w:val="a"/>
    <w:link w:val="Char1"/>
    <w:unhideWhenUsed/>
    <w:qFormat/>
    <w:rsid w:val="001D3C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D3C97"/>
    <w:rPr>
      <w:rFonts w:ascii="Times New Roman" w:eastAsia="宋体" w:hAnsi="Times New Roman" w:cs="Times New Roman"/>
      <w:sz w:val="18"/>
      <w:szCs w:val="18"/>
    </w:rPr>
  </w:style>
  <w:style w:type="character" w:customStyle="1" w:styleId="Char0">
    <w:name w:val="页脚 Char"/>
    <w:basedOn w:val="a0"/>
    <w:link w:val="a4"/>
    <w:uiPriority w:val="99"/>
    <w:qFormat/>
    <w:rsid w:val="001D3C9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D3C97"/>
    <w:rPr>
      <w:rFonts w:ascii="Times New Roman" w:eastAsia="宋体" w:hAnsi="Times New Roman" w:cs="Times New Roman"/>
      <w:sz w:val="18"/>
      <w:szCs w:val="18"/>
    </w:rPr>
  </w:style>
  <w:style w:type="character" w:customStyle="1" w:styleId="CharChar1">
    <w:name w:val="Char Char1"/>
    <w:qFormat/>
    <w:locked/>
    <w:rsid w:val="001D3C97"/>
    <w:rPr>
      <w:rFonts w:ascii="宋体" w:eastAsia="宋体" w:hAnsi="Courier New" w:hint="eastAsia"/>
      <w:kern w:val="2"/>
      <w:sz w:val="21"/>
      <w:lang w:val="en-US" w:eastAsia="zh-CN" w:bidi="ar-SA"/>
    </w:rPr>
  </w:style>
  <w:style w:type="paragraph" w:customStyle="1" w:styleId="a6">
    <w:name w:val="表格文字"/>
    <w:basedOn w:val="a"/>
    <w:uiPriority w:val="99"/>
    <w:qFormat/>
    <w:rsid w:val="001D3C9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242</Words>
  <Characters>1384</Characters>
  <Application>Microsoft Office Word</Application>
  <DocSecurity>0</DocSecurity>
  <Lines>11</Lines>
  <Paragraphs>3</Paragraphs>
  <ScaleCrop>false</ScaleCrop>
  <Company>china</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2015-06-17T12:51:00Z</dcterms:created>
  <dcterms:modified xsi:type="dcterms:W3CDTF">2021-06-06T07:38:00Z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