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1213C6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213C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1213C6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1213C6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1213C6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受审核部门：质检部    主管领导：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杨婷婷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杜长安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1213C6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1213C6" w:rsidRDefault="00661E99" w:rsidP="00F71803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审核时间：202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1213C6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255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1213C6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1213C6" w:rsidRDefault="00F7180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1213C6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255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1213C6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1213C6" w:rsidRDefault="00661E99" w:rsidP="001213C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1213C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213C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968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426" w:rsidRPr="001213C6" w:rsidRDefault="00166426" w:rsidP="001213C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166426" w:rsidRPr="001213C6" w:rsidRDefault="00166426" w:rsidP="00B81D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查《环境因素汇总及评价表》，识别了本部门在办公、检验等各有关过程的环境因素，包括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水、电的消耗</w:t>
            </w:r>
            <w:r w:rsidR="00B81DB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纸张的使用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生活污水的排放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等环境因素。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166426" w:rsidRPr="001213C6" w:rsidRDefault="00166426" w:rsidP="00166426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查《危险源辨识及风险评价表》，识别了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办公区所用电脑、电灯、电扇等用电设施下班后未切断电源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、产品跌落造成的人员伤害事故等危险源。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质检部重大危险源：物体跌落伤害</w:t>
            </w:r>
            <w:r w:rsidR="00BD5C65">
              <w:rPr>
                <w:rFonts w:ascii="楷体" w:eastAsia="楷体" w:hAnsi="楷体" w:cs="宋体" w:hint="eastAsia"/>
                <w:sz w:val="24"/>
                <w:szCs w:val="24"/>
              </w:rPr>
              <w:t>、火灾</w:t>
            </w:r>
            <w:bookmarkStart w:id="0" w:name="_GoBack"/>
            <w:bookmarkEnd w:id="0"/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Pr="001213C6" w:rsidRDefault="00166426" w:rsidP="00166426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E439E0" w:rsidRPr="001213C6" w:rsidRDefault="00166426" w:rsidP="001213C6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130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公司制定实施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9912F3" w:rsidRPr="001213C6">
              <w:rPr>
                <w:rFonts w:ascii="楷体" w:eastAsia="楷体" w:hAnsi="楷体" w:hint="eastAsia"/>
                <w:sz w:val="24"/>
                <w:szCs w:val="24"/>
              </w:rPr>
              <w:t>《办公室环境卫生管理制度》、《仓库管理制度》、《</w:t>
            </w:r>
            <w:r w:rsidR="004234E9">
              <w:rPr>
                <w:rFonts w:ascii="楷体" w:eastAsia="楷体" w:hAnsi="楷体" w:hint="eastAsia"/>
                <w:sz w:val="24"/>
                <w:szCs w:val="24"/>
              </w:rPr>
              <w:t>消防管理规定</w:t>
            </w:r>
            <w:r w:rsidR="009912F3" w:rsidRPr="001213C6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4234E9">
              <w:rPr>
                <w:rFonts w:ascii="楷体" w:eastAsia="楷体" w:hAnsi="楷体" w:hint="eastAsia"/>
                <w:sz w:val="24"/>
                <w:szCs w:val="24"/>
              </w:rPr>
              <w:t>、《卫生管理规定》、《工厂环境污染控制程序》、《废弃物管理制度》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等环境与安全管理制度。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>公司销售的产品主要是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配电箱（配电板）、低压配电柜（低压成套开关设备）、低压综合配电</w:t>
            </w:r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箱、低压电缆分支箱、低压抽出式开关柜、电容补禮柜、电能计量箱、</w:t>
            </w:r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proofErr w:type="gramStart"/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光伏并网箱</w:t>
            </w:r>
            <w:proofErr w:type="gramEnd"/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、交流金属环网开关设备、箱式变电站、铠装移</w:t>
            </w:r>
            <w:proofErr w:type="gramStart"/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开式交流金</w:t>
            </w:r>
            <w:proofErr w:type="gramEnd"/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属封闭开关设备、变压器、电力标牌、防鸟设备、电缆分接箱、端子箱</w:t>
            </w:r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、燃气表箱、热力表箱、电力金具、电力铁附件以及电缆保</w:t>
            </w:r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护套、模拟屏、电气自动化设备、电力器材</w:t>
            </w:r>
            <w:proofErr w:type="gramStart"/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〈</w:t>
            </w:r>
            <w:proofErr w:type="gramEnd"/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绝缘罩、安全工器具）、</w:t>
            </w:r>
            <w:r w:rsidR="001213C6" w:rsidRPr="001213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213C6" w:rsidRPr="001213C6">
              <w:rPr>
                <w:rFonts w:ascii="楷体" w:eastAsia="楷体" w:hAnsi="楷体" w:hint="eastAsia"/>
                <w:sz w:val="24"/>
                <w:szCs w:val="24"/>
              </w:rPr>
              <w:t>围栏、办公用品、电子显示屏、电子监控设备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 xml:space="preserve">等产品，以上产品均有合格证或检验报告。 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>产品的检验采取现场查验合格证、外观、数量、包装的方式进行。</w:t>
            </w:r>
            <w:r w:rsidR="006E301F" w:rsidRPr="001213C6">
              <w:rPr>
                <w:rFonts w:ascii="楷体" w:eastAsia="楷体" w:hAnsi="楷体" w:hint="eastAsia"/>
                <w:sz w:val="24"/>
                <w:szCs w:val="24"/>
              </w:rPr>
              <w:t>质检部的实验指标都是物理指标，不需要用到化学试剂。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时严格遵守公司的规章制度，尽量采取大箱换小箱的方式节约使用包装物。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检验时注意滑倒、碰伤、砸伤，合格品回用，不合格品退货处理。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质检部在办公过程产生的废纸等废弃物的处理办法：集中卖给回收站；</w:t>
            </w:r>
            <w:proofErr w:type="gramStart"/>
            <w:r w:rsidR="00E736BC" w:rsidRPr="001213C6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危废分类</w:t>
            </w:r>
            <w:proofErr w:type="gramEnd"/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存放，硒鼓墨盒回收交办公耗材公司折价回收。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巡视</w:t>
            </w:r>
            <w:r w:rsidR="00E736BC"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办公区域灭火器正常，电线、电气插座完整，未见隐患。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2110"/>
        </w:trPr>
        <w:tc>
          <w:tcPr>
            <w:tcW w:w="1809" w:type="dxa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213C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1213C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213C6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E439E0" w:rsidRPr="001213C6" w:rsidRDefault="000E00BE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1213C6" w:rsidRDefault="00661E99">
      <w:pPr>
        <w:rPr>
          <w:rFonts w:ascii="楷体" w:eastAsia="楷体" w:hAnsi="楷体"/>
        </w:rPr>
      </w:pPr>
      <w:r w:rsidRPr="001213C6">
        <w:rPr>
          <w:rFonts w:ascii="楷体" w:eastAsia="楷体" w:hAnsi="楷体"/>
        </w:rPr>
        <w:ptab w:relativeTo="margin" w:alignment="center" w:leader="none"/>
      </w:r>
    </w:p>
    <w:p w:rsidR="00E439E0" w:rsidRPr="001213C6" w:rsidRDefault="00E439E0">
      <w:pPr>
        <w:rPr>
          <w:rFonts w:ascii="楷体" w:eastAsia="楷体" w:hAnsi="楷体"/>
        </w:rPr>
      </w:pPr>
    </w:p>
    <w:p w:rsidR="00E439E0" w:rsidRPr="001213C6" w:rsidRDefault="00661E99">
      <w:pPr>
        <w:pStyle w:val="a5"/>
        <w:rPr>
          <w:rFonts w:ascii="楷体" w:eastAsia="楷体" w:hAnsi="楷体"/>
        </w:rPr>
      </w:pPr>
      <w:r w:rsidRPr="001213C6">
        <w:rPr>
          <w:rFonts w:ascii="楷体" w:eastAsia="楷体" w:hAnsi="楷体" w:hint="eastAsia"/>
        </w:rPr>
        <w:t>说明：不符合标注N</w:t>
      </w:r>
    </w:p>
    <w:sectPr w:rsidR="00E439E0" w:rsidRPr="001213C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24" w:rsidRDefault="00A32324">
      <w:r>
        <w:separator/>
      </w:r>
    </w:p>
  </w:endnote>
  <w:endnote w:type="continuationSeparator" w:id="0">
    <w:p w:rsidR="00A32324" w:rsidRDefault="00A3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C6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C6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24" w:rsidRDefault="00A32324">
      <w:r>
        <w:separator/>
      </w:r>
    </w:p>
  </w:footnote>
  <w:footnote w:type="continuationSeparator" w:id="0">
    <w:p w:rsidR="00A32324" w:rsidRDefault="00A3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A32324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213C6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234E9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119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0F98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1B67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A2DDA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32324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1DB5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D5C65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C5B51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71803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423</cp:revision>
  <dcterms:created xsi:type="dcterms:W3CDTF">2015-06-17T12:51:00Z</dcterms:created>
  <dcterms:modified xsi:type="dcterms:W3CDTF">2021-06-16T06:54:00Z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