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l2br w:val="nil"/>
              <w:tr2bl w:val="nil"/>
            </w:tcBorders>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tcBorders>
              <w:tl2br w:val="nil"/>
              <w:tr2bl w:val="nil"/>
            </w:tcBorders>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tcBorders>
              <w:tl2br w:val="nil"/>
              <w:tr2bl w:val="nil"/>
            </w:tcBorders>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受审核部门：销售部    主管领导：马占京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陪同人员：王宝旭 </w:t>
            </w:r>
          </w:p>
        </w:tc>
        <w:tc>
          <w:tcPr>
            <w:tcW w:w="1585" w:type="dxa"/>
            <w:vMerge w:val="restart"/>
            <w:tcBorders>
              <w:tl2br w:val="nil"/>
              <w:tr2bl w:val="nil"/>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l2br w:val="nil"/>
              <w:tr2bl w:val="nil"/>
            </w:tcBorders>
            <w:vAlign w:val="center"/>
          </w:tcPr>
          <w:p>
            <w:pPr>
              <w:spacing w:line="360" w:lineRule="auto"/>
              <w:rPr>
                <w:rFonts w:hint="eastAsia" w:ascii="宋体" w:hAnsi="宋体" w:eastAsia="宋体" w:cs="宋体"/>
                <w:sz w:val="21"/>
                <w:szCs w:val="21"/>
              </w:rPr>
            </w:pPr>
          </w:p>
        </w:tc>
        <w:tc>
          <w:tcPr>
            <w:tcW w:w="960" w:type="dxa"/>
            <w:vMerge w:val="continue"/>
            <w:tcBorders>
              <w:tl2br w:val="nil"/>
              <w:tr2bl w:val="nil"/>
            </w:tcBorders>
            <w:vAlign w:val="center"/>
          </w:tcPr>
          <w:p>
            <w:pPr>
              <w:spacing w:line="360" w:lineRule="auto"/>
              <w:rPr>
                <w:rFonts w:hint="eastAsia" w:ascii="宋体" w:hAnsi="宋体" w:eastAsia="宋体" w:cs="宋体"/>
                <w:sz w:val="21"/>
                <w:szCs w:val="21"/>
              </w:rPr>
            </w:pPr>
          </w:p>
        </w:tc>
        <w:tc>
          <w:tcPr>
            <w:tcW w:w="10004" w:type="dxa"/>
            <w:tcBorders>
              <w:tl2br w:val="nil"/>
              <w:tr2bl w:val="nil"/>
            </w:tcBorders>
            <w:vAlign w:val="center"/>
          </w:tcPr>
          <w:p>
            <w:pPr>
              <w:spacing w:before="120" w:line="360" w:lineRule="auto"/>
              <w:rPr>
                <w:rFonts w:hint="eastAsia" w:ascii="宋体" w:hAnsi="宋体" w:eastAsia="宋体" w:cs="宋体"/>
                <w:sz w:val="21"/>
                <w:szCs w:val="21"/>
              </w:rPr>
            </w:pPr>
            <w:r>
              <w:rPr>
                <w:rFonts w:hint="eastAsia" w:ascii="宋体" w:hAnsi="宋体" w:eastAsia="宋体" w:cs="宋体"/>
                <w:sz w:val="21"/>
                <w:szCs w:val="21"/>
              </w:rPr>
              <w:t>审核员：李俐     审核时间：202</w:t>
            </w:r>
            <w:r>
              <w:rPr>
                <w:rFonts w:hint="eastAsia" w:ascii="宋体" w:hAnsi="宋体" w:cs="宋体"/>
                <w:sz w:val="21"/>
                <w:szCs w:val="21"/>
                <w:lang w:val="en-US" w:eastAsia="zh-CN"/>
              </w:rPr>
              <w:t>1</w:t>
            </w:r>
            <w:r>
              <w:rPr>
                <w:rFonts w:hint="eastAsia" w:ascii="宋体" w:hAnsi="宋体" w:eastAsia="宋体" w:cs="宋体"/>
                <w:sz w:val="21"/>
                <w:szCs w:val="21"/>
              </w:rPr>
              <w:t>年0</w:t>
            </w:r>
            <w:r>
              <w:rPr>
                <w:rFonts w:hint="eastAsia" w:ascii="宋体" w:hAnsi="宋体" w:cs="宋体"/>
                <w:sz w:val="21"/>
                <w:szCs w:val="21"/>
                <w:lang w:val="en-US" w:eastAsia="zh-CN"/>
              </w:rPr>
              <w:t>6</w:t>
            </w:r>
            <w:r>
              <w:rPr>
                <w:rFonts w:hint="eastAsia" w:ascii="宋体" w:hAnsi="宋体" w:eastAsia="宋体" w:cs="宋体"/>
                <w:sz w:val="21"/>
                <w:szCs w:val="21"/>
              </w:rPr>
              <w:t>月</w:t>
            </w:r>
            <w:r>
              <w:rPr>
                <w:rFonts w:hint="eastAsia" w:ascii="宋体" w:hAnsi="宋体" w:cs="宋体"/>
                <w:sz w:val="21"/>
                <w:szCs w:val="21"/>
                <w:lang w:val="en-US" w:eastAsia="zh-CN"/>
              </w:rPr>
              <w:t>07-08</w:t>
            </w:r>
            <w:r>
              <w:rPr>
                <w:rFonts w:hint="eastAsia" w:ascii="宋体" w:hAnsi="宋体" w:eastAsia="宋体" w:cs="宋体"/>
                <w:sz w:val="21"/>
                <w:szCs w:val="21"/>
              </w:rPr>
              <w:t>日</w:t>
            </w:r>
          </w:p>
        </w:tc>
        <w:tc>
          <w:tcPr>
            <w:tcW w:w="1585" w:type="dxa"/>
            <w:vMerge w:val="continue"/>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l2br w:val="nil"/>
              <w:tr2bl w:val="nil"/>
            </w:tcBorders>
            <w:vAlign w:val="center"/>
          </w:tcPr>
          <w:p>
            <w:pPr>
              <w:spacing w:line="360" w:lineRule="auto"/>
              <w:rPr>
                <w:rFonts w:hint="eastAsia" w:ascii="宋体" w:hAnsi="宋体" w:eastAsia="宋体" w:cs="宋体"/>
                <w:sz w:val="21"/>
                <w:szCs w:val="21"/>
              </w:rPr>
            </w:pPr>
          </w:p>
        </w:tc>
        <w:tc>
          <w:tcPr>
            <w:tcW w:w="960" w:type="dxa"/>
            <w:vMerge w:val="continue"/>
            <w:tcBorders>
              <w:tl2br w:val="nil"/>
              <w:tr2bl w:val="nil"/>
            </w:tcBorders>
            <w:vAlign w:val="center"/>
          </w:tcPr>
          <w:p>
            <w:pPr>
              <w:spacing w:line="360" w:lineRule="auto"/>
              <w:rPr>
                <w:rFonts w:hint="eastAsia" w:ascii="宋体" w:hAnsi="宋体" w:eastAsia="宋体" w:cs="宋体"/>
                <w:sz w:val="21"/>
                <w:szCs w:val="21"/>
              </w:rPr>
            </w:pPr>
          </w:p>
        </w:tc>
        <w:tc>
          <w:tcPr>
            <w:tcW w:w="10004" w:type="dxa"/>
            <w:tcBorders>
              <w:tl2br w:val="nil"/>
              <w:tr2bl w:val="nil"/>
            </w:tcBorders>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 QM</w:t>
            </w:r>
            <w:r>
              <w:rPr>
                <w:rFonts w:hint="eastAsia" w:ascii="宋体" w:hAnsi="宋体" w:cs="宋体"/>
                <w:sz w:val="21"/>
                <w:szCs w:val="21"/>
                <w:lang w:val="en-US" w:eastAsia="zh-CN"/>
              </w:rPr>
              <w:t>O</w:t>
            </w:r>
            <w:r>
              <w:rPr>
                <w:rFonts w:hint="eastAsia" w:ascii="宋体" w:hAnsi="宋体" w:eastAsia="宋体" w:cs="宋体"/>
                <w:sz w:val="21"/>
                <w:szCs w:val="21"/>
              </w:rPr>
              <w:t xml:space="preserve">:5.3组织的岗位、职责和权限、6.2质量目标、8.2产品和服务的要求、8.5.3顾客或外部供方的财产、9.1.2顾客满意、8.4外部提供过程、产品和服务的控制、7.1.3基础设施、7.1.4过程运行环境、7.1.5监视和测量资源8.1运行策划和控制、8.3产品和服务的设计和开发不适用确认、8.5.1销售和服务提供的控制、8.5.2产品标识和可追朔性、8.5.4产品防护、8.5.5交付后的活动、8.5.6销售和服务提供的更改控制，8.6产品和服务的放行、8.7不合格输出的控制。 </w:t>
            </w:r>
          </w:p>
          <w:p>
            <w:pPr>
              <w:spacing w:line="360" w:lineRule="auto"/>
              <w:rPr>
                <w:rFonts w:hint="eastAsia" w:ascii="宋体" w:hAnsi="宋体" w:eastAsia="宋体" w:cs="宋体"/>
                <w:sz w:val="21"/>
                <w:szCs w:val="21"/>
              </w:rPr>
            </w:pPr>
            <w:r>
              <w:rPr>
                <w:rFonts w:hint="eastAsia" w:ascii="宋体" w:hAnsi="宋体" w:eastAsia="宋体" w:cs="宋体"/>
                <w:sz w:val="21"/>
                <w:szCs w:val="21"/>
              </w:rPr>
              <w:t>E/OMS: 5.3组织的岗位、职责和权限、6.2环境与职业健康安全目标、6.1.2环境因素/危险源辨识与评价、8.1运行策划和控制、8.2应急准备和响应，</w:t>
            </w:r>
          </w:p>
        </w:tc>
        <w:tc>
          <w:tcPr>
            <w:tcW w:w="1585" w:type="dxa"/>
            <w:vMerge w:val="continue"/>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160" w:type="dxa"/>
            <w:tcBorders>
              <w:tl2br w:val="nil"/>
              <w:tr2bl w:val="nil"/>
            </w:tcBorders>
            <w:vAlign w:val="center"/>
          </w:tcPr>
          <w:p>
            <w:pPr>
              <w:spacing w:line="360" w:lineRule="auto"/>
              <w:rPr>
                <w:rFonts w:hint="eastAsia" w:ascii="宋体" w:hAnsi="宋体" w:eastAsia="宋体" w:cs="宋体"/>
              </w:rPr>
            </w:pPr>
            <w:r>
              <w:rPr>
                <w:rFonts w:hint="eastAsia" w:ascii="宋体" w:hAnsi="宋体" w:eastAsia="宋体" w:cs="宋体"/>
                <w:szCs w:val="21"/>
              </w:rPr>
              <w:t>组织的岗位、职责权限</w:t>
            </w:r>
          </w:p>
        </w:tc>
        <w:tc>
          <w:tcPr>
            <w:tcW w:w="960" w:type="dxa"/>
            <w:tcBorders>
              <w:tl2br w:val="nil"/>
              <w:tr2bl w:val="nil"/>
            </w:tcBorders>
            <w:vAlign w:val="center"/>
          </w:tcPr>
          <w:p>
            <w:pPr>
              <w:spacing w:line="360" w:lineRule="auto"/>
              <w:rPr>
                <w:rFonts w:hint="eastAsia" w:ascii="宋体" w:hAnsi="宋体" w:eastAsia="宋体" w:cs="宋体"/>
                <w:szCs w:val="21"/>
                <w:lang w:val="en-US" w:eastAsia="zh-CN"/>
              </w:rPr>
            </w:pPr>
            <w:r>
              <w:rPr>
                <w:rFonts w:hint="eastAsia" w:ascii="宋体" w:hAnsi="宋体" w:eastAsia="宋体" w:cs="宋体"/>
                <w:szCs w:val="21"/>
              </w:rPr>
              <w:t>QE</w:t>
            </w:r>
            <w:r>
              <w:rPr>
                <w:rFonts w:hint="eastAsia" w:ascii="宋体" w:hAnsi="宋体" w:eastAsia="宋体" w:cs="宋体"/>
                <w:szCs w:val="21"/>
                <w:lang w:val="en-US" w:eastAsia="zh-CN"/>
              </w:rPr>
              <w:t>O:</w:t>
            </w:r>
          </w:p>
          <w:p>
            <w:pPr>
              <w:spacing w:line="360" w:lineRule="auto"/>
              <w:rPr>
                <w:rFonts w:hint="eastAsia" w:ascii="宋体" w:hAnsi="宋体" w:eastAsia="宋体" w:cs="宋体"/>
                <w:szCs w:val="21"/>
              </w:rPr>
            </w:pPr>
            <w:r>
              <w:rPr>
                <w:rFonts w:hint="eastAsia" w:ascii="宋体" w:hAnsi="宋体" w:eastAsia="宋体" w:cs="宋体"/>
                <w:szCs w:val="21"/>
              </w:rPr>
              <w:t>5.3</w:t>
            </w:r>
          </w:p>
          <w:p>
            <w:pPr>
              <w:spacing w:line="360" w:lineRule="auto"/>
              <w:rPr>
                <w:rFonts w:hint="eastAsia" w:ascii="宋体" w:hAnsi="宋体" w:eastAsia="宋体" w:cs="宋体"/>
              </w:rPr>
            </w:pPr>
          </w:p>
        </w:tc>
        <w:tc>
          <w:tcPr>
            <w:tcW w:w="10004" w:type="dxa"/>
            <w:tcBorders>
              <w:tl2br w:val="nil"/>
              <w:tr2bl w:val="nil"/>
            </w:tcBorders>
            <w:vAlign w:val="center"/>
          </w:tcPr>
          <w:p>
            <w:pPr>
              <w:spacing w:line="360" w:lineRule="auto"/>
              <w:rPr>
                <w:rFonts w:hint="eastAsia" w:ascii="宋体" w:hAnsi="宋体" w:eastAsia="宋体" w:cs="宋体"/>
                <w:szCs w:val="21"/>
              </w:rPr>
            </w:pPr>
            <w:r>
              <w:rPr>
                <w:rFonts w:hint="eastAsia" w:ascii="宋体" w:hAnsi="宋体" w:eastAsia="宋体" w:cs="宋体"/>
                <w:color w:val="000000"/>
                <w:szCs w:val="21"/>
              </w:rPr>
              <w:t>销售部</w:t>
            </w:r>
            <w:r>
              <w:rPr>
                <w:rFonts w:hint="eastAsia" w:ascii="宋体" w:hAnsi="宋体" w:eastAsia="宋体" w:cs="宋体"/>
                <w:szCs w:val="21"/>
              </w:rPr>
              <w:t>负责人：马占京</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1.部门主要负责：负责公司销售业务拓展工作，收集掌握市场信息。</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2．负责与客户有关的过程进行管理，组织对客户要求评审及合同签订过程中的事务性工作，并识别评价环保和职业健康安全要求，保存相应记录。</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3．负责组织投标文件的编制。</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4．负责草拟合同条款，具体负责组织合同签订工作。</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5．负责与顾客的沟通，对顾客的需求信息进行收集与分析，对顾客满意度进行评价。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 负责外部提供过程、销售服务的控制管理；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 负责本部门危险源和环境因素的控制和管理，与本部门有关的环境和职业健康安全运行控制</w:t>
            </w:r>
          </w:p>
          <w:p>
            <w:pPr>
              <w:spacing w:line="360" w:lineRule="auto"/>
              <w:ind w:firstLine="420" w:firstLineChars="200"/>
              <w:rPr>
                <w:rFonts w:hint="eastAsia" w:ascii="宋体" w:hAnsi="宋体" w:eastAsia="宋体" w:cs="宋体"/>
              </w:rPr>
            </w:pPr>
            <w:r>
              <w:rPr>
                <w:rFonts w:hint="eastAsia" w:ascii="宋体" w:hAnsi="宋体" w:eastAsia="宋体" w:cs="宋体"/>
                <w:szCs w:val="21"/>
              </w:rPr>
              <w:t>部门人员能够清楚自己部门的职责，沟通顺畅。无变化。</w:t>
            </w:r>
          </w:p>
        </w:tc>
        <w:tc>
          <w:tcPr>
            <w:tcW w:w="1585"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160" w:type="dxa"/>
            <w:tcBorders>
              <w:tl2br w:val="nil"/>
              <w:tr2bl w:val="nil"/>
            </w:tcBorders>
            <w:vAlign w:val="center"/>
          </w:tcPr>
          <w:p>
            <w:pPr>
              <w:spacing w:line="360" w:lineRule="auto"/>
              <w:rPr>
                <w:rFonts w:hint="eastAsia" w:ascii="宋体" w:hAnsi="宋体" w:eastAsia="宋体" w:cs="宋体"/>
              </w:rPr>
            </w:pPr>
            <w:r>
              <w:rPr>
                <w:rFonts w:hint="eastAsia" w:ascii="宋体" w:hAnsi="宋体" w:eastAsia="宋体" w:cs="宋体"/>
                <w:szCs w:val="21"/>
              </w:rPr>
              <w:t>目标和方案</w:t>
            </w:r>
          </w:p>
        </w:tc>
        <w:tc>
          <w:tcPr>
            <w:tcW w:w="960" w:type="dxa"/>
            <w:tcBorders>
              <w:tl2br w:val="nil"/>
              <w:tr2bl w:val="nil"/>
            </w:tcBorders>
            <w:vAlign w:val="center"/>
          </w:tcPr>
          <w:p>
            <w:pPr>
              <w:spacing w:line="360" w:lineRule="auto"/>
              <w:rPr>
                <w:rFonts w:hint="eastAsia" w:ascii="宋体" w:hAnsi="宋体" w:eastAsia="宋体" w:cs="宋体"/>
                <w:szCs w:val="21"/>
                <w:lang w:val="en-US" w:eastAsia="zh-CN"/>
              </w:rPr>
            </w:pPr>
            <w:r>
              <w:rPr>
                <w:rFonts w:hint="eastAsia" w:ascii="宋体" w:hAnsi="宋体" w:eastAsia="宋体" w:cs="宋体"/>
                <w:szCs w:val="21"/>
              </w:rPr>
              <w:t>QE</w:t>
            </w:r>
            <w:r>
              <w:rPr>
                <w:rFonts w:hint="eastAsia" w:ascii="宋体" w:hAnsi="宋体" w:eastAsia="宋体" w:cs="宋体"/>
                <w:szCs w:val="21"/>
                <w:lang w:val="en-US" w:eastAsia="zh-CN"/>
              </w:rPr>
              <w:t>O:</w:t>
            </w:r>
          </w:p>
          <w:p>
            <w:pPr>
              <w:spacing w:line="360" w:lineRule="auto"/>
              <w:rPr>
                <w:rFonts w:hint="eastAsia" w:ascii="宋体" w:hAnsi="宋体" w:eastAsia="宋体" w:cs="宋体"/>
                <w:szCs w:val="21"/>
              </w:rPr>
            </w:pPr>
            <w:r>
              <w:rPr>
                <w:rFonts w:hint="eastAsia" w:ascii="宋体" w:hAnsi="宋体" w:eastAsia="宋体" w:cs="宋体"/>
                <w:szCs w:val="21"/>
              </w:rPr>
              <w:t>6.2</w:t>
            </w:r>
          </w:p>
          <w:p>
            <w:pPr>
              <w:spacing w:line="360" w:lineRule="auto"/>
              <w:rPr>
                <w:rFonts w:hint="eastAsia" w:ascii="宋体" w:hAnsi="宋体" w:eastAsia="宋体" w:cs="宋体"/>
              </w:rPr>
            </w:pPr>
          </w:p>
        </w:tc>
        <w:tc>
          <w:tcPr>
            <w:tcW w:w="10004" w:type="dxa"/>
            <w:tcBorders>
              <w:tl2br w:val="nil"/>
              <w:tr2bl w:val="nil"/>
            </w:tcBorders>
            <w:vAlign w:val="center"/>
          </w:tcPr>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执行《管理手册》及《目标指标和管理方案》</w:t>
            </w:r>
          </w:p>
          <w:p>
            <w:pPr>
              <w:spacing w:line="360" w:lineRule="auto"/>
              <w:jc w:val="left"/>
              <w:rPr>
                <w:rFonts w:hint="eastAsia" w:ascii="宋体" w:hAnsi="宋体" w:eastAsia="宋体" w:cs="宋体"/>
                <w:szCs w:val="21"/>
              </w:rPr>
            </w:pPr>
            <w:r>
              <w:rPr>
                <w:rFonts w:hint="eastAsia" w:ascii="宋体" w:hAnsi="宋体" w:eastAsia="宋体" w:cs="宋体"/>
                <w:szCs w:val="21"/>
              </w:rPr>
              <w:t>部门目标：                        考核情况</w:t>
            </w:r>
          </w:p>
          <w:p>
            <w:pPr>
              <w:spacing w:line="360" w:lineRule="auto"/>
              <w:jc w:val="left"/>
              <w:rPr>
                <w:rFonts w:hint="eastAsia" w:ascii="宋体" w:hAnsi="宋体" w:eastAsia="宋体" w:cs="宋体"/>
                <w:sz w:val="21"/>
                <w:szCs w:val="21"/>
              </w:rPr>
            </w:pPr>
            <w:r>
              <w:rPr>
                <w:rFonts w:hint="eastAsia" w:ascii="宋体" w:hAnsi="宋体" w:eastAsia="宋体" w:cs="宋体"/>
                <w:szCs w:val="21"/>
              </w:rPr>
              <w:t>1、产品交付及时率100%         100%</w:t>
            </w:r>
          </w:p>
          <w:p>
            <w:pPr>
              <w:spacing w:line="360" w:lineRule="auto"/>
              <w:jc w:val="left"/>
              <w:rPr>
                <w:rFonts w:hint="eastAsia" w:ascii="宋体" w:hAnsi="宋体" w:eastAsia="宋体" w:cs="宋体"/>
                <w:szCs w:val="21"/>
              </w:rPr>
            </w:pPr>
            <w:r>
              <w:rPr>
                <w:rFonts w:hint="eastAsia" w:ascii="宋体" w:hAnsi="宋体" w:eastAsia="宋体" w:cs="宋体"/>
                <w:szCs w:val="21"/>
              </w:rPr>
              <w:t>2、顾客满意率≥90%             97%</w:t>
            </w:r>
          </w:p>
          <w:p>
            <w:pPr>
              <w:spacing w:line="360" w:lineRule="auto"/>
              <w:jc w:val="left"/>
              <w:rPr>
                <w:rFonts w:hint="eastAsia" w:ascii="宋体" w:hAnsi="宋体" w:eastAsia="宋体" w:cs="宋体"/>
                <w:szCs w:val="21"/>
              </w:rPr>
            </w:pPr>
            <w:r>
              <w:rPr>
                <w:rFonts w:hint="eastAsia" w:ascii="宋体" w:hAnsi="宋体" w:eastAsia="宋体" w:cs="宋体"/>
                <w:szCs w:val="21"/>
              </w:rPr>
              <w:t>3、固体废弃物100%分类处理    100%</w:t>
            </w:r>
          </w:p>
          <w:p>
            <w:pPr>
              <w:spacing w:line="360" w:lineRule="auto"/>
              <w:jc w:val="left"/>
              <w:rPr>
                <w:rFonts w:hint="eastAsia" w:ascii="宋体" w:hAnsi="宋体" w:eastAsia="宋体" w:cs="宋体"/>
                <w:szCs w:val="21"/>
              </w:rPr>
            </w:pPr>
            <w:r>
              <w:rPr>
                <w:rFonts w:hint="eastAsia" w:ascii="宋体" w:hAnsi="宋体" w:eastAsia="宋体" w:cs="宋体"/>
                <w:szCs w:val="21"/>
              </w:rPr>
              <w:t>4、火灾事故为0                0</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对可回收废弃物、危险废弃物分类管理，并集中收集和处理，完成了部门该项环境目标和指标。</w:t>
            </w:r>
          </w:p>
          <w:p>
            <w:pPr>
              <w:spacing w:line="360" w:lineRule="auto"/>
              <w:jc w:val="left"/>
              <w:rPr>
                <w:rFonts w:hint="eastAsia" w:ascii="宋体" w:hAnsi="宋体" w:eastAsia="宋体" w:cs="宋体"/>
                <w:szCs w:val="21"/>
              </w:rPr>
            </w:pPr>
            <w:r>
              <w:rPr>
                <w:rFonts w:hint="eastAsia" w:ascii="宋体" w:hAnsi="宋体" w:eastAsia="宋体" w:cs="宋体"/>
                <w:szCs w:val="21"/>
              </w:rPr>
              <w:t>无任何安全事故发生，完成了部门该项职业健康安全目标。</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按照季度进行考核，提供了</w:t>
            </w:r>
            <w:r>
              <w:rPr>
                <w:rFonts w:hint="eastAsia" w:ascii="宋体" w:hAnsi="宋体" w:eastAsia="宋体" w:cs="宋体"/>
                <w:color w:val="auto"/>
                <w:szCs w:val="21"/>
              </w:rPr>
              <w:t>202</w:t>
            </w:r>
            <w:r>
              <w:rPr>
                <w:rFonts w:hint="eastAsia" w:ascii="宋体" w:hAnsi="宋体" w:cs="宋体"/>
                <w:color w:val="auto"/>
                <w:szCs w:val="21"/>
                <w:lang w:val="en-US" w:eastAsia="zh-CN"/>
              </w:rPr>
              <w:t>1</w:t>
            </w:r>
            <w:r>
              <w:rPr>
                <w:rFonts w:hint="eastAsia" w:ascii="宋体" w:hAnsi="宋体" w:eastAsia="宋体" w:cs="宋体"/>
                <w:color w:val="auto"/>
                <w:szCs w:val="21"/>
              </w:rPr>
              <w:t>年</w:t>
            </w:r>
            <w:r>
              <w:rPr>
                <w:rFonts w:hint="eastAsia" w:ascii="宋体" w:hAnsi="宋体" w:cs="宋体"/>
                <w:color w:val="auto"/>
                <w:szCs w:val="21"/>
                <w:lang w:val="en-US" w:eastAsia="zh-CN"/>
              </w:rPr>
              <w:t>5</w:t>
            </w:r>
            <w:r>
              <w:rPr>
                <w:rFonts w:hint="eastAsia" w:ascii="宋体" w:hAnsi="宋体" w:eastAsia="宋体" w:cs="宋体"/>
                <w:color w:val="auto"/>
                <w:szCs w:val="21"/>
              </w:rPr>
              <w:t>月</w:t>
            </w:r>
            <w:r>
              <w:rPr>
                <w:rFonts w:hint="eastAsia" w:ascii="宋体" w:hAnsi="宋体" w:eastAsia="宋体" w:cs="宋体"/>
                <w:szCs w:val="21"/>
              </w:rPr>
              <w:t>份目标考核表，</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经查显示目标均已完成。</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对以上的目标指标制定了管理方案：</w:t>
            </w:r>
          </w:p>
          <w:p>
            <w:pPr>
              <w:spacing w:line="360" w:lineRule="auto"/>
              <w:jc w:val="left"/>
              <w:rPr>
                <w:rFonts w:hint="eastAsia" w:ascii="宋体" w:hAnsi="宋体" w:eastAsia="宋体" w:cs="宋体"/>
                <w:szCs w:val="21"/>
              </w:rPr>
            </w:pPr>
            <w:r>
              <w:rPr>
                <w:rFonts w:hint="eastAsia" w:ascii="宋体" w:hAnsi="宋体" w:eastAsia="宋体" w:cs="宋体"/>
                <w:szCs w:val="21"/>
              </w:rPr>
              <w:t>•环境目标、指标：废弃物100%分类堆放处置</w:t>
            </w:r>
          </w:p>
          <w:p>
            <w:pPr>
              <w:spacing w:line="360" w:lineRule="auto"/>
              <w:jc w:val="left"/>
              <w:rPr>
                <w:rFonts w:hint="eastAsia" w:ascii="宋体" w:hAnsi="宋体" w:eastAsia="宋体" w:cs="宋体"/>
                <w:szCs w:val="21"/>
              </w:rPr>
            </w:pPr>
            <w:r>
              <w:rPr>
                <w:rFonts w:hint="eastAsia" w:ascii="宋体" w:hAnsi="宋体" w:eastAsia="宋体" w:cs="宋体"/>
                <w:szCs w:val="21"/>
              </w:rPr>
              <w:t>管理方案：各部门对办公活动中产生的可回收废物收集后交办公室集中处置等</w:t>
            </w:r>
          </w:p>
          <w:p>
            <w:pPr>
              <w:spacing w:line="360" w:lineRule="auto"/>
              <w:jc w:val="left"/>
              <w:rPr>
                <w:rFonts w:hint="eastAsia" w:ascii="宋体" w:hAnsi="宋体" w:eastAsia="宋体" w:cs="宋体"/>
                <w:szCs w:val="21"/>
              </w:rPr>
            </w:pPr>
            <w:r>
              <w:rPr>
                <w:rFonts w:hint="eastAsia" w:ascii="宋体" w:hAnsi="宋体" w:eastAsia="宋体" w:cs="宋体"/>
                <w:szCs w:val="21"/>
              </w:rPr>
              <w:t>完成时间：</w:t>
            </w:r>
            <w:r>
              <w:rPr>
                <w:rFonts w:hint="eastAsia" w:ascii="宋体" w:hAnsi="宋体" w:eastAsia="宋体" w:cs="宋体"/>
                <w:color w:val="auto"/>
                <w:szCs w:val="21"/>
              </w:rPr>
              <w:t>20</w:t>
            </w:r>
            <w:r>
              <w:rPr>
                <w:rFonts w:hint="eastAsia" w:ascii="宋体" w:hAnsi="宋体" w:cs="宋体"/>
                <w:color w:val="auto"/>
                <w:szCs w:val="21"/>
                <w:lang w:val="en-US" w:eastAsia="zh-CN"/>
              </w:rPr>
              <w:t>20</w:t>
            </w:r>
            <w:r>
              <w:rPr>
                <w:rFonts w:hint="eastAsia" w:ascii="宋体" w:hAnsi="宋体" w:eastAsia="宋体" w:cs="宋体"/>
                <w:color w:val="auto"/>
                <w:szCs w:val="21"/>
              </w:rPr>
              <w:t>.9~202</w:t>
            </w:r>
            <w:r>
              <w:rPr>
                <w:rFonts w:hint="eastAsia" w:ascii="宋体" w:hAnsi="宋体" w:cs="宋体"/>
                <w:color w:val="auto"/>
                <w:szCs w:val="21"/>
                <w:lang w:val="en-US" w:eastAsia="zh-CN"/>
              </w:rPr>
              <w:t>1</w:t>
            </w:r>
            <w:r>
              <w:rPr>
                <w:rFonts w:hint="eastAsia" w:ascii="宋体" w:hAnsi="宋体" w:eastAsia="宋体" w:cs="宋体"/>
                <w:color w:val="auto"/>
                <w:szCs w:val="21"/>
              </w:rPr>
              <w:t>.9费用：1</w:t>
            </w:r>
            <w:r>
              <w:rPr>
                <w:rFonts w:hint="eastAsia" w:ascii="宋体" w:hAnsi="宋体" w:cs="宋体"/>
                <w:color w:val="auto"/>
                <w:szCs w:val="21"/>
                <w:lang w:val="en-US" w:eastAsia="zh-CN"/>
              </w:rPr>
              <w:t>3</w:t>
            </w:r>
            <w:r>
              <w:rPr>
                <w:rFonts w:hint="eastAsia" w:ascii="宋体" w:hAnsi="宋体" w:eastAsia="宋体" w:cs="宋体"/>
                <w:color w:val="auto"/>
                <w:szCs w:val="21"/>
              </w:rPr>
              <w:t xml:space="preserve">00元 </w:t>
            </w:r>
            <w:r>
              <w:rPr>
                <w:rFonts w:hint="eastAsia" w:ascii="宋体" w:hAnsi="宋体" w:eastAsia="宋体" w:cs="宋体"/>
                <w:szCs w:val="21"/>
              </w:rPr>
              <w:t>责任部门：销售部</w:t>
            </w:r>
          </w:p>
          <w:p>
            <w:pPr>
              <w:spacing w:line="360" w:lineRule="auto"/>
              <w:jc w:val="left"/>
              <w:rPr>
                <w:rFonts w:hint="eastAsia" w:ascii="宋体" w:hAnsi="宋体" w:eastAsia="宋体" w:cs="宋体"/>
                <w:szCs w:val="21"/>
              </w:rPr>
            </w:pPr>
            <w:r>
              <w:rPr>
                <w:rFonts w:hint="eastAsia" w:ascii="宋体" w:hAnsi="宋体" w:eastAsia="宋体" w:cs="宋体"/>
                <w:szCs w:val="21"/>
              </w:rPr>
              <w:t>•安全目标、指标：火灾事故发生率为0</w:t>
            </w:r>
          </w:p>
          <w:p>
            <w:pPr>
              <w:spacing w:line="360" w:lineRule="auto"/>
              <w:jc w:val="left"/>
              <w:rPr>
                <w:rFonts w:hint="eastAsia" w:ascii="宋体" w:hAnsi="宋体" w:eastAsia="宋体" w:cs="宋体"/>
                <w:szCs w:val="21"/>
              </w:rPr>
            </w:pPr>
            <w:r>
              <w:rPr>
                <w:rFonts w:hint="eastAsia" w:ascii="宋体" w:hAnsi="宋体" w:eastAsia="宋体" w:cs="宋体"/>
                <w:szCs w:val="21"/>
              </w:rPr>
              <w:t>措施：强化安全思想教育培训，认真学习安全规程；室内禁止吸烟等</w:t>
            </w:r>
          </w:p>
          <w:p>
            <w:pPr>
              <w:spacing w:line="360" w:lineRule="auto"/>
              <w:jc w:val="left"/>
              <w:rPr>
                <w:rFonts w:hint="eastAsia" w:ascii="宋体" w:hAnsi="宋体" w:eastAsia="宋体" w:cs="宋体"/>
                <w:szCs w:val="21"/>
              </w:rPr>
            </w:pPr>
            <w:r>
              <w:rPr>
                <w:rFonts w:hint="eastAsia" w:ascii="宋体" w:hAnsi="宋体" w:eastAsia="宋体" w:cs="宋体"/>
                <w:szCs w:val="21"/>
              </w:rPr>
              <w:t>完成时间20</w:t>
            </w:r>
            <w:r>
              <w:rPr>
                <w:rFonts w:hint="eastAsia" w:ascii="宋体" w:hAnsi="宋体" w:cs="宋体"/>
                <w:szCs w:val="21"/>
                <w:lang w:val="en-US" w:eastAsia="zh-CN"/>
              </w:rPr>
              <w:t>20</w:t>
            </w:r>
            <w:r>
              <w:rPr>
                <w:rFonts w:hint="eastAsia" w:ascii="宋体" w:hAnsi="宋体" w:eastAsia="宋体" w:cs="宋体"/>
                <w:szCs w:val="21"/>
              </w:rPr>
              <w:t>.9~202</w:t>
            </w:r>
            <w:r>
              <w:rPr>
                <w:rFonts w:hint="eastAsia" w:ascii="宋体" w:hAnsi="宋体" w:cs="宋体"/>
                <w:szCs w:val="21"/>
                <w:lang w:val="en-US" w:eastAsia="zh-CN"/>
              </w:rPr>
              <w:t>1</w:t>
            </w:r>
            <w:r>
              <w:rPr>
                <w:rFonts w:hint="eastAsia" w:ascii="宋体" w:hAnsi="宋体" w:eastAsia="宋体" w:cs="宋体"/>
                <w:szCs w:val="21"/>
              </w:rPr>
              <w:t>.</w:t>
            </w:r>
            <w:r>
              <w:rPr>
                <w:rFonts w:hint="eastAsia" w:ascii="宋体" w:hAnsi="宋体" w:cs="宋体"/>
                <w:szCs w:val="21"/>
                <w:lang w:val="en-US" w:eastAsia="zh-CN"/>
              </w:rPr>
              <w:t>12</w:t>
            </w:r>
            <w:r>
              <w:rPr>
                <w:rFonts w:hint="eastAsia" w:ascii="宋体" w:hAnsi="宋体" w:eastAsia="宋体" w:cs="宋体"/>
                <w:szCs w:val="21"/>
              </w:rPr>
              <w:t>费用：1200元 责任部门：销售部等</w:t>
            </w:r>
          </w:p>
          <w:p>
            <w:pPr>
              <w:spacing w:line="360" w:lineRule="auto"/>
              <w:ind w:firstLine="420" w:firstLineChars="200"/>
              <w:jc w:val="left"/>
              <w:rPr>
                <w:rFonts w:hint="eastAsia" w:ascii="宋体" w:hAnsi="宋体" w:eastAsia="宋体" w:cs="宋体"/>
              </w:rPr>
            </w:pPr>
            <w:r>
              <w:rPr>
                <w:rFonts w:hint="eastAsia" w:ascii="宋体" w:hAnsi="宋体" w:eastAsia="宋体" w:cs="宋体"/>
                <w:szCs w:val="21"/>
              </w:rPr>
              <w:t>制定的指标和管理方案基本可行。</w:t>
            </w:r>
          </w:p>
        </w:tc>
        <w:tc>
          <w:tcPr>
            <w:tcW w:w="1585"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l2br w:val="nil"/>
              <w:tr2bl w:val="nil"/>
            </w:tcBorders>
            <w:vAlign w:val="center"/>
          </w:tcPr>
          <w:p>
            <w:pPr>
              <w:spacing w:line="360" w:lineRule="auto"/>
              <w:rPr>
                <w:rFonts w:hint="eastAsia" w:ascii="宋体" w:hAnsi="宋体" w:eastAsia="宋体" w:cs="宋体"/>
              </w:rPr>
            </w:pPr>
            <w:r>
              <w:rPr>
                <w:rFonts w:hint="eastAsia" w:ascii="宋体" w:hAnsi="宋体" w:eastAsia="宋体" w:cs="宋体"/>
                <w:szCs w:val="21"/>
              </w:rPr>
              <w:t>环境因素评价和控制措施的确定</w:t>
            </w:r>
          </w:p>
        </w:tc>
        <w:tc>
          <w:tcPr>
            <w:tcW w:w="960" w:type="dxa"/>
            <w:tcBorders>
              <w:tl2br w:val="nil"/>
              <w:tr2bl w:val="nil"/>
            </w:tcBorders>
            <w:vAlign w:val="center"/>
          </w:tcPr>
          <w:p>
            <w:pPr>
              <w:spacing w:line="360" w:lineRule="auto"/>
              <w:rPr>
                <w:rFonts w:hint="eastAsia" w:ascii="宋体" w:hAnsi="宋体" w:eastAsia="宋体" w:cs="宋体"/>
              </w:rPr>
            </w:pPr>
            <w:r>
              <w:rPr>
                <w:rFonts w:hint="eastAsia" w:ascii="宋体" w:hAnsi="宋体" w:eastAsia="宋体" w:cs="宋体"/>
                <w:szCs w:val="21"/>
              </w:rPr>
              <w:t>E6.1.2</w:t>
            </w:r>
          </w:p>
        </w:tc>
        <w:tc>
          <w:tcPr>
            <w:tcW w:w="10004" w:type="dxa"/>
            <w:tcBorders>
              <w:tl2br w:val="nil"/>
              <w:tr2bl w:val="nil"/>
            </w:tcBorders>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执行《环境因素识别与控制程序》</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提供《环境因素评价表》，废弃纸张、纸张消耗、潜在火灾、相关方汽车喇叭噪声、相关方汽车机油滴漏等。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提供《重要环境因素清单》，其中涉及销售部的重要环境因素：固体废弃物排放，火灾。识别人:高艳华，批准：张荣才，日期：</w:t>
            </w:r>
            <w:r>
              <w:rPr>
                <w:rFonts w:hint="eastAsia" w:ascii="宋体" w:hAnsi="宋体" w:eastAsia="宋体" w:cs="宋体"/>
                <w:color w:val="auto"/>
                <w:szCs w:val="21"/>
              </w:rPr>
              <w:t>20</w:t>
            </w:r>
            <w:r>
              <w:rPr>
                <w:rFonts w:hint="eastAsia" w:ascii="宋体" w:hAnsi="宋体" w:cs="宋体"/>
                <w:color w:val="auto"/>
                <w:szCs w:val="21"/>
                <w:lang w:val="en-US" w:eastAsia="zh-CN"/>
              </w:rPr>
              <w:t>20</w:t>
            </w:r>
            <w:r>
              <w:rPr>
                <w:rFonts w:hint="eastAsia" w:ascii="宋体" w:hAnsi="宋体" w:eastAsia="宋体" w:cs="宋体"/>
                <w:color w:val="auto"/>
                <w:szCs w:val="21"/>
              </w:rPr>
              <w:t>.9.12</w:t>
            </w:r>
          </w:p>
          <w:p>
            <w:pPr>
              <w:spacing w:line="360" w:lineRule="auto"/>
              <w:ind w:firstLine="420" w:firstLineChars="200"/>
              <w:rPr>
                <w:rFonts w:hint="eastAsia" w:ascii="宋体" w:hAnsi="宋体" w:eastAsia="宋体" w:cs="宋体"/>
              </w:rPr>
            </w:pPr>
            <w:r>
              <w:rPr>
                <w:rFonts w:hint="eastAsia" w:ascii="宋体" w:hAnsi="宋体" w:eastAsia="宋体" w:cs="宋体"/>
                <w:szCs w:val="21"/>
              </w:rPr>
              <w:t>评价基本合理。基本无变化。</w:t>
            </w:r>
          </w:p>
        </w:tc>
        <w:tc>
          <w:tcPr>
            <w:tcW w:w="1585"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l2br w:val="nil"/>
              <w:tr2bl w:val="nil"/>
            </w:tcBorders>
            <w:vAlign w:val="center"/>
          </w:tcPr>
          <w:p>
            <w:pPr>
              <w:spacing w:line="360" w:lineRule="auto"/>
              <w:rPr>
                <w:rFonts w:hint="eastAsia" w:ascii="宋体" w:hAnsi="宋体" w:eastAsia="宋体" w:cs="宋体"/>
              </w:rPr>
            </w:pPr>
            <w:r>
              <w:rPr>
                <w:rFonts w:hint="eastAsia" w:ascii="宋体" w:hAnsi="宋体" w:eastAsia="宋体" w:cs="宋体"/>
                <w:szCs w:val="21"/>
              </w:rPr>
              <w:t>危险源辨识和控制措施的确定</w:t>
            </w:r>
          </w:p>
        </w:tc>
        <w:tc>
          <w:tcPr>
            <w:tcW w:w="960" w:type="dxa"/>
            <w:tcBorders>
              <w:tl2br w:val="nil"/>
              <w:tr2bl w:val="nil"/>
            </w:tcBorders>
            <w:vAlign w:val="center"/>
          </w:tcPr>
          <w:p>
            <w:pPr>
              <w:spacing w:line="360" w:lineRule="auto"/>
              <w:rPr>
                <w:rFonts w:hint="eastAsia" w:ascii="宋体" w:hAnsi="宋体" w:eastAsia="宋体" w:cs="宋体"/>
              </w:rPr>
            </w:pPr>
            <w:r>
              <w:rPr>
                <w:rFonts w:hint="eastAsia" w:ascii="宋体" w:hAnsi="宋体" w:eastAsia="宋体" w:cs="宋体"/>
                <w:szCs w:val="21"/>
                <w:lang w:val="en-US" w:eastAsia="zh-CN"/>
              </w:rPr>
              <w:t>O:</w:t>
            </w:r>
            <w:r>
              <w:rPr>
                <w:rFonts w:hint="eastAsia" w:ascii="宋体" w:hAnsi="宋体" w:eastAsia="宋体" w:cs="宋体"/>
                <w:szCs w:val="21"/>
              </w:rPr>
              <w:t>6.1.2</w:t>
            </w:r>
          </w:p>
        </w:tc>
        <w:tc>
          <w:tcPr>
            <w:tcW w:w="10004" w:type="dxa"/>
            <w:tcBorders>
              <w:tl2br w:val="nil"/>
              <w:tr2bl w:val="nil"/>
            </w:tcBorders>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提供《危险源调查表》，对活动场所产生的危险源辨识并进行风险评价，并确定控制措施。</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通过现场观察工作所在区域环境、工作活动内容，确定了危险源。经查阅已识别了销售活动中的危险源为砸伤、触电、火灾、意外伤害等。识别人:高艳华，批准：张荣才，时间：2019.8.6。</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综合部为主控部门，提供了《不可接受风险清单》，销售部确定的不可接受风险为潜在火灾。识别较充分。</w:t>
            </w:r>
          </w:p>
          <w:p>
            <w:pPr>
              <w:spacing w:line="360" w:lineRule="auto"/>
              <w:ind w:firstLine="420" w:firstLineChars="200"/>
              <w:rPr>
                <w:rFonts w:hint="eastAsia" w:ascii="宋体" w:hAnsi="宋体" w:eastAsia="宋体" w:cs="宋体"/>
              </w:rPr>
            </w:pPr>
            <w:r>
              <w:rPr>
                <w:rFonts w:hint="eastAsia" w:ascii="宋体" w:hAnsi="宋体" w:eastAsia="宋体" w:cs="宋体"/>
                <w:szCs w:val="21"/>
              </w:rPr>
              <w:t>控制措施包括制定制度，加强培训，定期安全检查，制定应急预案等。用直接判断法对识别的危险源进行评价，本部门不可接受风险火灾，评价基本准确。基本无变化。</w:t>
            </w:r>
          </w:p>
        </w:tc>
        <w:tc>
          <w:tcPr>
            <w:tcW w:w="1585"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l2br w:val="nil"/>
              <w:tr2bl w:val="nil"/>
            </w:tcBorders>
            <w:vAlign w:val="center"/>
          </w:tcPr>
          <w:p>
            <w:pPr>
              <w:spacing w:line="360" w:lineRule="auto"/>
              <w:rPr>
                <w:rFonts w:hint="eastAsia" w:ascii="宋体" w:hAnsi="宋体" w:eastAsia="宋体" w:cs="宋体"/>
              </w:rPr>
            </w:pPr>
            <w:r>
              <w:rPr>
                <w:rFonts w:hint="eastAsia" w:ascii="宋体" w:hAnsi="宋体" w:eastAsia="宋体" w:cs="宋体"/>
                <w:szCs w:val="21"/>
              </w:rPr>
              <w:t>运行控制</w:t>
            </w:r>
          </w:p>
        </w:tc>
        <w:tc>
          <w:tcPr>
            <w:tcW w:w="960" w:type="dxa"/>
            <w:tcBorders>
              <w:tl2br w:val="nil"/>
              <w:tr2bl w:val="nil"/>
            </w:tcBorders>
            <w:vAlign w:val="center"/>
          </w:tcPr>
          <w:p>
            <w:pPr>
              <w:spacing w:line="360" w:lineRule="auto"/>
              <w:rPr>
                <w:rFonts w:hint="eastAsia" w:ascii="宋体" w:hAnsi="宋体" w:eastAsia="宋体" w:cs="宋体"/>
                <w:szCs w:val="21"/>
              </w:rPr>
            </w:pPr>
            <w:r>
              <w:rPr>
                <w:rFonts w:hint="eastAsia" w:ascii="宋体" w:hAnsi="宋体" w:eastAsia="宋体" w:cs="宋体"/>
                <w:szCs w:val="21"/>
                <w:lang w:val="en-US" w:eastAsia="zh-CN"/>
              </w:rPr>
              <w:t>EO:</w:t>
            </w:r>
            <w:r>
              <w:rPr>
                <w:rFonts w:hint="eastAsia" w:ascii="宋体" w:hAnsi="宋体" w:eastAsia="宋体" w:cs="宋体"/>
                <w:szCs w:val="21"/>
              </w:rPr>
              <w:t>8.1</w:t>
            </w:r>
          </w:p>
          <w:p>
            <w:pPr>
              <w:spacing w:line="360" w:lineRule="auto"/>
              <w:rPr>
                <w:rFonts w:hint="eastAsia" w:ascii="宋体" w:hAnsi="宋体" w:eastAsia="宋体" w:cs="宋体"/>
              </w:rPr>
            </w:pPr>
          </w:p>
        </w:tc>
        <w:tc>
          <w:tcPr>
            <w:tcW w:w="10004" w:type="dxa"/>
            <w:tcBorders>
              <w:tl2br w:val="nil"/>
              <w:tr2bl w:val="nil"/>
            </w:tcBorders>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本部门应执行的运行控制文件包括：</w:t>
            </w:r>
            <w:r>
              <w:rPr>
                <w:rFonts w:hint="eastAsia" w:ascii="宋体" w:hAnsi="宋体" w:eastAsia="宋体" w:cs="宋体"/>
                <w:szCs w:val="21"/>
                <w:lang w:val="en-GB"/>
              </w:rPr>
              <w:t>环境管理控制程序、职业健康控制程序、固体废弃物管理</w:t>
            </w:r>
            <w:r>
              <w:rPr>
                <w:rFonts w:hint="eastAsia" w:ascii="宋体" w:hAnsi="宋体" w:eastAsia="宋体" w:cs="宋体"/>
                <w:szCs w:val="21"/>
              </w:rPr>
              <w:t>规定</w:t>
            </w:r>
            <w:r>
              <w:rPr>
                <w:rFonts w:hint="eastAsia" w:ascii="宋体" w:hAnsi="宋体" w:eastAsia="宋体" w:cs="宋体"/>
                <w:szCs w:val="21"/>
                <w:lang w:val="en-GB"/>
              </w:rPr>
              <w:t>、</w:t>
            </w:r>
            <w:r>
              <w:rPr>
                <w:rFonts w:hint="eastAsia" w:ascii="宋体" w:hAnsi="宋体" w:eastAsia="宋体" w:cs="宋体"/>
                <w:szCs w:val="21"/>
              </w:rPr>
              <w:t>对相关方施加影响管理规定、节能降耗管理规定、消防安全管理制度、办公室安全管理制度、</w:t>
            </w:r>
            <w:r>
              <w:rPr>
                <w:rFonts w:hint="eastAsia" w:ascii="宋体" w:hAnsi="宋体" w:eastAsia="宋体" w:cs="宋体"/>
                <w:szCs w:val="21"/>
                <w:lang w:val="en-GB"/>
              </w:rPr>
              <w:t>车辆管理规定、电脑使用管理办法、服务人员工作规范</w:t>
            </w:r>
            <w:r>
              <w:rPr>
                <w:rFonts w:hint="eastAsia" w:ascii="宋体" w:hAnsi="宋体" w:eastAsia="宋体" w:cs="宋体"/>
                <w:szCs w:val="21"/>
              </w:rPr>
              <w:t>等.</w:t>
            </w:r>
          </w:p>
          <w:p>
            <w:pPr>
              <w:spacing w:line="360" w:lineRule="auto"/>
              <w:rPr>
                <w:rFonts w:hint="eastAsia" w:ascii="宋体" w:hAnsi="宋体" w:eastAsia="宋体" w:cs="宋体"/>
                <w:szCs w:val="21"/>
              </w:rPr>
            </w:pPr>
            <w:r>
              <w:rPr>
                <w:rFonts w:hint="eastAsia" w:ascii="宋体" w:hAnsi="宋体" w:eastAsia="宋体" w:cs="宋体"/>
                <w:szCs w:val="21"/>
              </w:rPr>
              <w:t>运行控制情况：</w:t>
            </w:r>
          </w:p>
          <w:p>
            <w:pPr>
              <w:numPr>
                <w:ilvl w:val="0"/>
                <w:numId w:val="1"/>
              </w:numPr>
              <w:spacing w:line="360" w:lineRule="auto"/>
              <w:rPr>
                <w:rFonts w:hint="eastAsia" w:ascii="宋体" w:hAnsi="宋体" w:eastAsia="宋体" w:cs="宋体"/>
                <w:szCs w:val="21"/>
              </w:rPr>
            </w:pPr>
            <w:r>
              <w:rPr>
                <w:rFonts w:hint="eastAsia" w:ascii="宋体" w:hAnsi="宋体" w:eastAsia="宋体" w:cs="宋体"/>
                <w:szCs w:val="21"/>
              </w:rPr>
              <w:t>办公室区域：污水：不涉及污水，没有污水排放。</w:t>
            </w:r>
          </w:p>
          <w:p>
            <w:pPr>
              <w:numPr>
                <w:ilvl w:val="0"/>
                <w:numId w:val="1"/>
              </w:numPr>
              <w:spacing w:line="360" w:lineRule="auto"/>
              <w:rPr>
                <w:rFonts w:hint="eastAsia" w:ascii="宋体" w:hAnsi="宋体" w:eastAsia="宋体" w:cs="宋体"/>
                <w:szCs w:val="21"/>
              </w:rPr>
            </w:pPr>
            <w:r>
              <w:rPr>
                <w:rFonts w:hint="eastAsia" w:ascii="宋体" w:hAnsi="宋体" w:eastAsia="宋体" w:cs="宋体"/>
                <w:szCs w:val="21"/>
              </w:rPr>
              <w:t>噪声：办公现场不产生明显噪声。</w:t>
            </w:r>
          </w:p>
          <w:p>
            <w:pPr>
              <w:numPr>
                <w:ilvl w:val="0"/>
                <w:numId w:val="1"/>
              </w:numPr>
              <w:spacing w:line="360" w:lineRule="auto"/>
              <w:rPr>
                <w:rFonts w:hint="eastAsia" w:ascii="宋体" w:hAnsi="宋体" w:eastAsia="宋体" w:cs="宋体"/>
                <w:szCs w:val="21"/>
              </w:rPr>
            </w:pPr>
            <w:r>
              <w:rPr>
                <w:rFonts w:hint="eastAsia" w:ascii="宋体" w:hAnsi="宋体" w:eastAsia="宋体" w:cs="宋体"/>
                <w:szCs w:val="21"/>
              </w:rPr>
              <w:t>固废：固体废物主要是办公产生废纸张等，配置了纸篓；办公用纸由办公室负责，复印、打印耗材都有办公室统一负责，集中处置。</w:t>
            </w:r>
          </w:p>
          <w:p>
            <w:pPr>
              <w:numPr>
                <w:ilvl w:val="0"/>
                <w:numId w:val="1"/>
              </w:numPr>
              <w:spacing w:line="360" w:lineRule="auto"/>
              <w:rPr>
                <w:rFonts w:hint="eastAsia" w:ascii="宋体" w:hAnsi="宋体" w:eastAsia="宋体" w:cs="宋体"/>
                <w:szCs w:val="21"/>
              </w:rPr>
            </w:pPr>
            <w:r>
              <w:rPr>
                <w:rFonts w:hint="eastAsia" w:ascii="宋体" w:hAnsi="宋体" w:eastAsia="宋体" w:cs="宋体"/>
                <w:szCs w:val="21"/>
              </w:rPr>
              <w:t>办公过程注意节约用电，做到人走灯灭，电脑长时间不用时关机，下班前要关闭电源，防止触电。</w:t>
            </w:r>
          </w:p>
          <w:p>
            <w:pPr>
              <w:numPr>
                <w:ilvl w:val="0"/>
                <w:numId w:val="1"/>
              </w:numPr>
              <w:spacing w:line="360" w:lineRule="auto"/>
              <w:rPr>
                <w:rFonts w:hint="eastAsia" w:ascii="宋体" w:hAnsi="宋体" w:eastAsia="宋体" w:cs="宋体"/>
                <w:szCs w:val="21"/>
              </w:rPr>
            </w:pPr>
            <w:r>
              <w:rPr>
                <w:rFonts w:hint="eastAsia" w:ascii="宋体" w:hAnsi="宋体" w:eastAsia="宋体" w:cs="宋体"/>
                <w:szCs w:val="21"/>
              </w:rPr>
              <w:t>办公区域禁止吸烟，现场查看办公区域环境整洁、宽敞、办公设备状态良好、无安全隐患，办公区域配备有效的干粉灭火器。</w:t>
            </w:r>
          </w:p>
          <w:p>
            <w:pPr>
              <w:numPr>
                <w:ilvl w:val="0"/>
                <w:numId w:val="1"/>
              </w:numPr>
              <w:spacing w:line="360" w:lineRule="auto"/>
              <w:rPr>
                <w:rFonts w:hint="eastAsia" w:ascii="宋体" w:hAnsi="宋体" w:eastAsia="宋体" w:cs="宋体"/>
                <w:szCs w:val="21"/>
              </w:rPr>
            </w:pPr>
            <w:r>
              <w:rPr>
                <w:rFonts w:hint="eastAsia" w:ascii="宋体" w:hAnsi="宋体" w:eastAsia="宋体" w:cs="宋体"/>
                <w:szCs w:val="21"/>
              </w:rPr>
              <w:t>工作时间平均每天不超过8小时。</w:t>
            </w:r>
          </w:p>
          <w:p>
            <w:pPr>
              <w:numPr>
                <w:ilvl w:val="0"/>
                <w:numId w:val="1"/>
              </w:numPr>
              <w:spacing w:line="360" w:lineRule="auto"/>
              <w:rPr>
                <w:rFonts w:hint="eastAsia" w:ascii="宋体" w:hAnsi="宋体" w:eastAsia="宋体" w:cs="宋体"/>
                <w:szCs w:val="21"/>
              </w:rPr>
            </w:pPr>
            <w:r>
              <w:rPr>
                <w:rFonts w:hint="eastAsia" w:ascii="宋体" w:hAnsi="宋体" w:eastAsia="宋体" w:cs="宋体"/>
                <w:szCs w:val="21"/>
              </w:rPr>
              <w:t>现场查看办公区域配备符合要求的消防设施。</w:t>
            </w:r>
          </w:p>
          <w:p>
            <w:pPr>
              <w:numPr>
                <w:ilvl w:val="0"/>
                <w:numId w:val="1"/>
              </w:numPr>
              <w:spacing w:line="360" w:lineRule="auto"/>
              <w:rPr>
                <w:rFonts w:hint="eastAsia" w:ascii="宋体" w:hAnsi="宋体" w:eastAsia="宋体" w:cs="宋体"/>
                <w:szCs w:val="21"/>
              </w:rPr>
            </w:pPr>
            <w:r>
              <w:rPr>
                <w:rFonts w:hint="eastAsia" w:ascii="宋体" w:hAnsi="宋体" w:eastAsia="宋体" w:cs="宋体"/>
                <w:szCs w:val="21"/>
              </w:rPr>
              <w:t>现场查看办公区域，整洁、光线充足、室内空气良好、配置有空调，办公条件较好，办公设备安全状态良好，教育员工正确使用办公设备，现场用电基本规范，无乱拉线现象，防止火灾发生。</w:t>
            </w:r>
          </w:p>
          <w:p>
            <w:pPr>
              <w:spacing w:line="360" w:lineRule="auto"/>
              <w:rPr>
                <w:rFonts w:hint="eastAsia" w:ascii="宋体" w:hAnsi="宋体" w:eastAsia="宋体" w:cs="宋体"/>
                <w:szCs w:val="21"/>
              </w:rPr>
            </w:pPr>
            <w:r>
              <w:rPr>
                <w:rFonts w:hint="eastAsia" w:ascii="宋体" w:hAnsi="宋体" w:eastAsia="宋体" w:cs="宋体"/>
                <w:szCs w:val="21"/>
              </w:rPr>
              <w:t>9、相关方施加影响：公司能够控制或能够施加影响的相关方有顾客等。提供了“致相关方的公开信”，将公司的环境/安全控制要求发放到了所有相关方（河北鑫奥体育器材制造有限公司、北京爱芝音教设备有限公司、山东明华实业有限公司等），督促影响各相关方按照环境/安全管理体系要求对环境/安全施加影响。在与顾客沟通和招投标时，通过选择适当时机向顾客宣传本公司的职业健康安全的方针理念以及本公司的具体做法、成绩等，向顾客施加职业健康安全的影响，增强顾客对本公司的信任程度。</w:t>
            </w:r>
          </w:p>
          <w:p>
            <w:pPr>
              <w:spacing w:line="360" w:lineRule="auto"/>
              <w:rPr>
                <w:rFonts w:hint="eastAsia" w:ascii="宋体" w:hAnsi="宋体" w:eastAsia="宋体" w:cs="宋体"/>
                <w:szCs w:val="21"/>
              </w:rPr>
            </w:pPr>
            <w:r>
              <w:rPr>
                <w:rFonts w:hint="eastAsia" w:ascii="宋体" w:hAnsi="宋体" w:eastAsia="宋体" w:cs="宋体"/>
                <w:szCs w:val="21"/>
              </w:rPr>
              <w:t>10、驾驶员要求遵守道路交通安全法规，不违章驾车，驾驶证和车辆定期年审，确保行车安全。</w:t>
            </w:r>
          </w:p>
          <w:p>
            <w:pPr>
              <w:spacing w:line="360" w:lineRule="auto"/>
              <w:rPr>
                <w:rFonts w:hint="eastAsia" w:ascii="宋体" w:hAnsi="宋体" w:eastAsia="宋体" w:cs="宋体"/>
                <w:szCs w:val="21"/>
              </w:rPr>
            </w:pPr>
            <w:r>
              <w:rPr>
                <w:rFonts w:hint="eastAsia" w:ascii="宋体" w:hAnsi="宋体" w:eastAsia="宋体" w:cs="宋体"/>
                <w:szCs w:val="21"/>
              </w:rPr>
              <w:t>11、注意了新冠肺炎疫情期间个人防护。</w:t>
            </w:r>
          </w:p>
          <w:p>
            <w:pPr>
              <w:spacing w:line="360" w:lineRule="auto"/>
              <w:rPr>
                <w:rFonts w:hint="default" w:ascii="宋体" w:hAnsi="宋体" w:eastAsia="宋体" w:cs="宋体"/>
                <w:szCs w:val="21"/>
                <w:lang w:val="en-US" w:eastAsia="zh-CN"/>
              </w:rPr>
            </w:pPr>
            <w:bookmarkStart w:id="0" w:name="_GoBack"/>
            <w:r>
              <w:rPr>
                <w:rFonts w:hint="eastAsia" w:ascii="宋体" w:hAnsi="宋体" w:cs="宋体"/>
                <w:szCs w:val="21"/>
                <w:lang w:val="en-US" w:eastAsia="zh-CN"/>
              </w:rPr>
              <w:t>现场审核发现，应急场所灭火器失效，开具了不符合。</w:t>
            </w:r>
            <w:bookmarkEnd w:id="0"/>
          </w:p>
        </w:tc>
        <w:tc>
          <w:tcPr>
            <w:tcW w:w="1585" w:type="dxa"/>
            <w:tcBorders>
              <w:tl2br w:val="nil"/>
              <w:tr2bl w:val="nil"/>
            </w:tcBorders>
          </w:tcPr>
          <w:p/>
          <w:p/>
          <w:p/>
          <w:p/>
          <w:p/>
          <w:p/>
          <w:p/>
          <w:p/>
          <w:p/>
          <w:p/>
          <w:p/>
          <w:p/>
          <w:p/>
          <w:p/>
          <w:p/>
          <w:p/>
          <w:p/>
          <w:p/>
          <w:p/>
          <w:p/>
          <w:p/>
          <w:p/>
          <w:p/>
          <w:p/>
          <w:p/>
          <w:p/>
          <w:p/>
          <w:p/>
          <w:p/>
          <w:p/>
          <w:p/>
          <w:p/>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Borders>
              <w:tl2br w:val="nil"/>
              <w:tr2bl w:val="nil"/>
            </w:tcBorders>
            <w:vAlign w:val="center"/>
          </w:tcPr>
          <w:p>
            <w:pPr>
              <w:spacing w:line="360" w:lineRule="auto"/>
              <w:rPr>
                <w:rFonts w:hint="eastAsia" w:ascii="宋体" w:hAnsi="宋体" w:eastAsia="宋体" w:cs="宋体"/>
              </w:rPr>
            </w:pPr>
            <w:r>
              <w:rPr>
                <w:rFonts w:hint="eastAsia" w:ascii="宋体" w:hAnsi="宋体" w:eastAsia="宋体" w:cs="宋体"/>
                <w:szCs w:val="21"/>
              </w:rPr>
              <w:t>监视和测量资源</w:t>
            </w:r>
          </w:p>
        </w:tc>
        <w:tc>
          <w:tcPr>
            <w:tcW w:w="960" w:type="dxa"/>
            <w:tcBorders>
              <w:tl2br w:val="nil"/>
              <w:tr2bl w:val="nil"/>
            </w:tcBorders>
            <w:vAlign w:val="center"/>
          </w:tcPr>
          <w:p>
            <w:pPr>
              <w:spacing w:line="360" w:lineRule="auto"/>
              <w:rPr>
                <w:rFonts w:hint="eastAsia" w:ascii="宋体" w:hAnsi="宋体" w:eastAsia="宋体" w:cs="宋体"/>
              </w:rPr>
            </w:pPr>
            <w:r>
              <w:rPr>
                <w:rFonts w:hint="eastAsia" w:ascii="宋体" w:hAnsi="宋体" w:eastAsia="宋体" w:cs="宋体"/>
                <w:szCs w:val="21"/>
              </w:rPr>
              <w:t>Q7.1.5</w:t>
            </w:r>
          </w:p>
        </w:tc>
        <w:tc>
          <w:tcPr>
            <w:tcW w:w="10004" w:type="dxa"/>
            <w:tcBorders>
              <w:tl2br w:val="nil"/>
              <w:tr2bl w:val="nil"/>
            </w:tcBorders>
            <w:vAlign w:val="center"/>
          </w:tcPr>
          <w:p>
            <w:pPr>
              <w:spacing w:line="360" w:lineRule="auto"/>
              <w:ind w:firstLine="420" w:firstLineChars="200"/>
              <w:rPr>
                <w:rFonts w:hint="eastAsia" w:ascii="宋体" w:hAnsi="宋体" w:eastAsia="宋体" w:cs="宋体"/>
              </w:rPr>
            </w:pPr>
            <w:r>
              <w:rPr>
                <w:rFonts w:hint="eastAsia" w:ascii="宋体" w:hAnsi="宋体" w:eastAsia="宋体" w:cs="宋体"/>
                <w:szCs w:val="21"/>
              </w:rPr>
              <w:t>公司产品直接由供应商或由公司送至客户处，无需监视和测量装置，没有进行强制检定的监视测量设备。公司的监视和测量主要是通过人工进行检查，公司配备了能够胜任岗位的人力资源，目前配备的人员均能满足要求。无变化。</w:t>
            </w:r>
          </w:p>
        </w:tc>
        <w:tc>
          <w:tcPr>
            <w:tcW w:w="1585"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60" w:type="dxa"/>
            <w:tcBorders>
              <w:tl2br w:val="nil"/>
              <w:tr2bl w:val="nil"/>
            </w:tcBorders>
            <w:vAlign w:val="center"/>
          </w:tcPr>
          <w:p>
            <w:pPr>
              <w:spacing w:line="360" w:lineRule="auto"/>
              <w:rPr>
                <w:rFonts w:hint="eastAsia" w:ascii="宋体" w:hAnsi="宋体" w:eastAsia="宋体" w:cs="宋体"/>
              </w:rPr>
            </w:pPr>
            <w:r>
              <w:rPr>
                <w:rFonts w:hint="eastAsia" w:ascii="宋体" w:hAnsi="宋体" w:eastAsia="宋体" w:cs="宋体"/>
                <w:szCs w:val="21"/>
              </w:rPr>
              <w:t>运行的策划和控制</w:t>
            </w:r>
          </w:p>
        </w:tc>
        <w:tc>
          <w:tcPr>
            <w:tcW w:w="960" w:type="dxa"/>
            <w:tcBorders>
              <w:tl2br w:val="nil"/>
              <w:tr2bl w:val="nil"/>
            </w:tcBorders>
            <w:vAlign w:val="center"/>
          </w:tcPr>
          <w:p>
            <w:pPr>
              <w:spacing w:line="360" w:lineRule="auto"/>
              <w:rPr>
                <w:rFonts w:hint="eastAsia" w:ascii="宋体" w:hAnsi="宋体" w:eastAsia="宋体" w:cs="宋体"/>
              </w:rPr>
            </w:pPr>
            <w:r>
              <w:rPr>
                <w:rFonts w:hint="eastAsia" w:ascii="宋体" w:hAnsi="宋体" w:eastAsia="宋体" w:cs="宋体"/>
                <w:szCs w:val="21"/>
              </w:rPr>
              <w:t>Q8.1</w:t>
            </w:r>
          </w:p>
        </w:tc>
        <w:tc>
          <w:tcPr>
            <w:tcW w:w="10004" w:type="dxa"/>
            <w:tcBorders>
              <w:tl2br w:val="nil"/>
              <w:tr2bl w:val="nil"/>
            </w:tcBorders>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销售流程：获取产品销售项目信息--项目情况调查、客户沟通--分析汇总、决策--进入项目跟踪阶段--进入投标报价阶段--如中标--签订销售合同—与产品供方确认供货周期、交付等--采购产品—产品交付、验收--客户接收确认.无变化。</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制定了部门管理目标，定期对目标完成情况进行考核。</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文件资源:编制了《质量手册》、《程序文件》、销售服务规范等，对销售人员的业绩和能力进行定期考核等。编制了体系运行所需的各类记录表格。</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执行的法律法规和标准规范：室外健身器材的安全  通用要求</w:t>
            </w:r>
            <w:r>
              <w:rPr>
                <w:rFonts w:hint="eastAsia" w:ascii="宋体" w:hAnsi="宋体" w:eastAsia="宋体" w:cs="宋体"/>
                <w:szCs w:val="21"/>
              </w:rPr>
              <w:tab/>
            </w:r>
            <w:r>
              <w:rPr>
                <w:rFonts w:hint="eastAsia" w:ascii="宋体" w:hAnsi="宋体" w:eastAsia="宋体" w:cs="宋体"/>
                <w:szCs w:val="21"/>
              </w:rPr>
              <w:t>GB19272-2011</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中小学体育器材和场地 第1部分 健身器材</w:t>
            </w:r>
            <w:r>
              <w:rPr>
                <w:rFonts w:hint="eastAsia" w:ascii="宋体" w:hAnsi="宋体" w:eastAsia="宋体" w:cs="宋体"/>
                <w:szCs w:val="21"/>
              </w:rPr>
              <w:tab/>
            </w:r>
            <w:r>
              <w:rPr>
                <w:rFonts w:hint="eastAsia" w:ascii="宋体" w:hAnsi="宋体" w:eastAsia="宋体" w:cs="宋体"/>
                <w:szCs w:val="21"/>
              </w:rPr>
              <w:t>GB/T19851.1-2005</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中小学体育器材和场地 第2部分 篮球架</w:t>
            </w:r>
            <w:r>
              <w:rPr>
                <w:rFonts w:hint="eastAsia" w:ascii="宋体" w:hAnsi="宋体" w:eastAsia="宋体" w:cs="宋体"/>
                <w:szCs w:val="21"/>
              </w:rPr>
              <w:tab/>
            </w:r>
            <w:r>
              <w:rPr>
                <w:rFonts w:hint="eastAsia" w:ascii="宋体" w:hAnsi="宋体" w:eastAsia="宋体" w:cs="宋体"/>
                <w:szCs w:val="21"/>
              </w:rPr>
              <w:t>GB/T19851.3-2005</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中小学体育器材和场地 第2部分 乒乓球台</w:t>
            </w:r>
            <w:r>
              <w:rPr>
                <w:rFonts w:hint="eastAsia" w:ascii="宋体" w:hAnsi="宋体" w:eastAsia="宋体" w:cs="宋体"/>
                <w:szCs w:val="21"/>
              </w:rPr>
              <w:tab/>
            </w:r>
            <w:r>
              <w:rPr>
                <w:rFonts w:hint="eastAsia" w:ascii="宋体" w:hAnsi="宋体" w:eastAsia="宋体" w:cs="宋体"/>
                <w:szCs w:val="21"/>
              </w:rPr>
              <w:t>GB/T1-9851.7-2005</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固定式健身器材 第1部分 通用安全要求和试验方法GB17498.1-2008</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教学仪器设备安全要求  玻璃仪器及连接部件</w:t>
            </w:r>
            <w:r>
              <w:rPr>
                <w:rFonts w:hint="eastAsia" w:ascii="宋体" w:hAnsi="宋体" w:eastAsia="宋体" w:cs="宋体"/>
                <w:szCs w:val="21"/>
              </w:rPr>
              <w:tab/>
            </w:r>
            <w:r>
              <w:rPr>
                <w:rFonts w:hint="eastAsia" w:ascii="宋体" w:hAnsi="宋体" w:eastAsia="宋体" w:cs="宋体"/>
                <w:szCs w:val="21"/>
              </w:rPr>
              <w:t>GB21749-2008</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教学实验室设备  实验（桌）的安全要求及实验方法GB21747-2008</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教学仪器设备安全要求  总则</w:t>
            </w:r>
            <w:r>
              <w:rPr>
                <w:rFonts w:hint="eastAsia" w:ascii="宋体" w:hAnsi="宋体" w:eastAsia="宋体" w:cs="宋体"/>
                <w:szCs w:val="21"/>
              </w:rPr>
              <w:tab/>
            </w:r>
            <w:r>
              <w:rPr>
                <w:rFonts w:hint="eastAsia" w:ascii="宋体" w:hAnsi="宋体" w:eastAsia="宋体" w:cs="宋体"/>
                <w:szCs w:val="21"/>
              </w:rPr>
              <w:t>GB21746-2008</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教学仪器设备安全要求  仪器和零部件的基本要求GB21748-2008</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室外健身器材的安全通用要求</w:t>
            </w:r>
            <w:r>
              <w:rPr>
                <w:rFonts w:hint="eastAsia" w:ascii="宋体" w:hAnsi="宋体" w:eastAsia="宋体" w:cs="宋体"/>
                <w:szCs w:val="21"/>
              </w:rPr>
              <w:tab/>
            </w:r>
            <w:r>
              <w:rPr>
                <w:rFonts w:hint="eastAsia" w:ascii="宋体" w:hAnsi="宋体" w:eastAsia="宋体" w:cs="宋体"/>
                <w:szCs w:val="21"/>
              </w:rPr>
              <w:t xml:space="preserve">GB19272-2011等。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资源配置：提供适宜的工作环境和打印机、复印件办公设备等，按照岗位说明书的要求招聘合适的人员。</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策划和控制措施合理。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公司目前无新项目开发。</w:t>
            </w:r>
          </w:p>
          <w:p>
            <w:pPr>
              <w:spacing w:line="360" w:lineRule="auto"/>
              <w:ind w:firstLine="420" w:firstLineChars="200"/>
              <w:rPr>
                <w:rFonts w:hint="eastAsia" w:ascii="宋体" w:hAnsi="宋体" w:eastAsia="宋体" w:cs="宋体"/>
              </w:rPr>
            </w:pPr>
            <w:r>
              <w:rPr>
                <w:rFonts w:hint="eastAsia" w:ascii="宋体" w:hAnsi="宋体" w:eastAsia="宋体" w:cs="宋体"/>
                <w:szCs w:val="21"/>
              </w:rPr>
              <w:t>审核期内，无特定合同及项目，无质量计划。</w:t>
            </w:r>
          </w:p>
        </w:tc>
        <w:tc>
          <w:tcPr>
            <w:tcW w:w="1585"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2160" w:type="dxa"/>
            <w:tcBorders>
              <w:tl2br w:val="nil"/>
              <w:tr2bl w:val="nil"/>
            </w:tcBorders>
            <w:vAlign w:val="center"/>
          </w:tcPr>
          <w:p>
            <w:pPr>
              <w:spacing w:line="360" w:lineRule="auto"/>
              <w:rPr>
                <w:rFonts w:hint="eastAsia" w:ascii="宋体" w:hAnsi="宋体" w:eastAsia="宋体" w:cs="宋体"/>
              </w:rPr>
            </w:pPr>
            <w:r>
              <w:rPr>
                <w:rFonts w:hint="eastAsia" w:ascii="宋体" w:hAnsi="宋体" w:eastAsia="宋体" w:cs="宋体"/>
                <w:szCs w:val="21"/>
              </w:rPr>
              <w:t>顾客沟通</w:t>
            </w:r>
          </w:p>
        </w:tc>
        <w:tc>
          <w:tcPr>
            <w:tcW w:w="960" w:type="dxa"/>
            <w:tcBorders>
              <w:tl2br w:val="nil"/>
              <w:tr2bl w:val="nil"/>
            </w:tcBorders>
            <w:vAlign w:val="center"/>
          </w:tcPr>
          <w:p>
            <w:pPr>
              <w:spacing w:line="360" w:lineRule="auto"/>
              <w:rPr>
                <w:rFonts w:hint="eastAsia" w:ascii="宋体" w:hAnsi="宋体" w:eastAsia="宋体" w:cs="宋体"/>
                <w:szCs w:val="21"/>
              </w:rPr>
            </w:pPr>
            <w:r>
              <w:rPr>
                <w:rFonts w:hint="eastAsia" w:ascii="宋体" w:hAnsi="宋体" w:eastAsia="宋体" w:cs="宋体"/>
                <w:szCs w:val="21"/>
              </w:rPr>
              <w:t>Q8.2.1</w:t>
            </w:r>
          </w:p>
          <w:p>
            <w:pPr>
              <w:spacing w:line="360" w:lineRule="auto"/>
              <w:rPr>
                <w:rFonts w:hint="eastAsia" w:ascii="宋体" w:hAnsi="宋体" w:eastAsia="宋体" w:cs="宋体"/>
              </w:rPr>
            </w:pPr>
            <w:r>
              <w:rPr>
                <w:rFonts w:hint="eastAsia" w:ascii="宋体" w:hAnsi="宋体" w:eastAsia="宋体" w:cs="宋体"/>
                <w:szCs w:val="21"/>
              </w:rPr>
              <w:t xml:space="preserve"> </w:t>
            </w:r>
          </w:p>
        </w:tc>
        <w:tc>
          <w:tcPr>
            <w:tcW w:w="10004" w:type="dxa"/>
            <w:tcBorders>
              <w:tl2br w:val="nil"/>
              <w:tr2bl w:val="nil"/>
            </w:tcBorders>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与顾客沟通主要采取以下方式：产品信息：主要是电话、传真、Q互联网、微信、视频会议等，公司宣传册及网站的方式；问询、合同或订单的处理：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主要采取电话或面谈的方式；顾客反馈：主要为顾客建立档案，定期电话或登门进行回访。</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查见《客户档案》，内容包括：客户名称、法人代表、通讯地址、联系人、电话、邮编、传真、E-mail、需用产品、牌号、年需求量，是否固定客户。</w:t>
            </w:r>
          </w:p>
          <w:p>
            <w:pPr>
              <w:spacing w:line="360" w:lineRule="auto"/>
              <w:ind w:firstLine="420" w:firstLineChars="200"/>
              <w:rPr>
                <w:rFonts w:hint="eastAsia" w:ascii="宋体" w:hAnsi="宋体" w:eastAsia="宋体" w:cs="宋体"/>
                <w:b/>
              </w:rPr>
            </w:pPr>
            <w:r>
              <w:rPr>
                <w:rFonts w:hint="eastAsia" w:ascii="宋体" w:hAnsi="宋体" w:eastAsia="宋体" w:cs="宋体"/>
                <w:szCs w:val="21"/>
              </w:rPr>
              <w:t>并为主要客户建立了档案。</w:t>
            </w:r>
          </w:p>
        </w:tc>
        <w:tc>
          <w:tcPr>
            <w:tcW w:w="1585"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2160" w:type="dxa"/>
            <w:tcBorders>
              <w:tl2br w:val="nil"/>
              <w:tr2bl w:val="nil"/>
            </w:tcBorders>
            <w:vAlign w:val="center"/>
          </w:tcPr>
          <w:p>
            <w:pPr>
              <w:spacing w:line="360" w:lineRule="auto"/>
              <w:rPr>
                <w:rFonts w:hint="eastAsia" w:ascii="宋体" w:hAnsi="宋体" w:eastAsia="宋体" w:cs="宋体"/>
              </w:rPr>
            </w:pPr>
            <w:r>
              <w:rPr>
                <w:rFonts w:hint="eastAsia" w:ascii="宋体" w:hAnsi="宋体" w:eastAsia="宋体" w:cs="宋体"/>
                <w:szCs w:val="21"/>
              </w:rPr>
              <w:t>与产品和服务要求有关的要求确定</w:t>
            </w:r>
          </w:p>
        </w:tc>
        <w:tc>
          <w:tcPr>
            <w:tcW w:w="960" w:type="dxa"/>
            <w:tcBorders>
              <w:tl2br w:val="nil"/>
              <w:tr2bl w:val="nil"/>
            </w:tcBorders>
            <w:vAlign w:val="center"/>
          </w:tcPr>
          <w:p>
            <w:pPr>
              <w:spacing w:line="360" w:lineRule="auto"/>
              <w:rPr>
                <w:rFonts w:hint="eastAsia" w:ascii="宋体" w:hAnsi="宋体" w:eastAsia="宋体" w:cs="宋体"/>
                <w:szCs w:val="21"/>
              </w:rPr>
            </w:pPr>
            <w:r>
              <w:rPr>
                <w:rFonts w:hint="eastAsia" w:ascii="宋体" w:hAnsi="宋体" w:eastAsia="宋体" w:cs="宋体"/>
                <w:szCs w:val="21"/>
              </w:rPr>
              <w:t>Q8.2.2</w:t>
            </w:r>
          </w:p>
          <w:p>
            <w:pPr>
              <w:spacing w:line="360" w:lineRule="auto"/>
              <w:rPr>
                <w:rFonts w:hint="eastAsia" w:ascii="宋体" w:hAnsi="宋体" w:eastAsia="宋体" w:cs="宋体"/>
              </w:rPr>
            </w:pPr>
            <w:r>
              <w:rPr>
                <w:rFonts w:hint="eastAsia" w:ascii="宋体" w:hAnsi="宋体" w:eastAsia="宋体" w:cs="宋体"/>
                <w:szCs w:val="21"/>
              </w:rPr>
              <w:t xml:space="preserve"> </w:t>
            </w:r>
          </w:p>
        </w:tc>
        <w:tc>
          <w:tcPr>
            <w:tcW w:w="10004" w:type="dxa"/>
            <w:tcBorders>
              <w:tl2br w:val="nil"/>
              <w:tr2bl w:val="nil"/>
            </w:tcBorders>
            <w:vAlign w:val="center"/>
          </w:tcPr>
          <w:p>
            <w:pPr>
              <w:spacing w:line="360" w:lineRule="auto"/>
              <w:ind w:firstLine="420" w:firstLineChars="200"/>
              <w:rPr>
                <w:rFonts w:hint="eastAsia" w:ascii="宋体" w:hAnsi="宋体" w:eastAsia="宋体" w:cs="宋体"/>
              </w:rPr>
            </w:pPr>
            <w:r>
              <w:rPr>
                <w:rFonts w:hint="eastAsia" w:ascii="宋体" w:hAnsi="宋体" w:eastAsia="宋体" w:cs="宋体"/>
              </w:rPr>
              <w:t>该公司主要服务为音体美器材、教学仪器、课桌椅床、办公用品、书架、幼儿玩具（对儿童有危害的除外）的销售。该公司主要依据合同法及顾客要求进行施工，与产品和服务有关的要求主要体现在与顾客所签订的合同中。</w:t>
            </w:r>
          </w:p>
          <w:p>
            <w:pPr>
              <w:spacing w:line="360" w:lineRule="auto"/>
              <w:ind w:firstLine="420" w:firstLineChars="200"/>
              <w:rPr>
                <w:rFonts w:hint="eastAsia" w:ascii="宋体" w:hAnsi="宋体" w:eastAsia="宋体" w:cs="宋体"/>
              </w:rPr>
            </w:pPr>
            <w:r>
              <w:rPr>
                <w:rFonts w:hint="eastAsia" w:ascii="宋体" w:hAnsi="宋体" w:eastAsia="宋体" w:cs="宋体"/>
              </w:rPr>
              <w:t>另外，该公司确定并收集了产品质量法、合同法、消费者权益保护法等相关法律法规，将其中的相关要求作为与产品有关要求的补充。</w:t>
            </w:r>
          </w:p>
          <w:p>
            <w:pPr>
              <w:spacing w:line="360" w:lineRule="auto"/>
              <w:ind w:firstLine="420" w:firstLineChars="200"/>
              <w:rPr>
                <w:rFonts w:hint="eastAsia" w:ascii="宋体" w:hAnsi="宋体" w:eastAsia="宋体" w:cs="宋体"/>
              </w:rPr>
            </w:pPr>
            <w:r>
              <w:rPr>
                <w:rFonts w:hint="eastAsia" w:ascii="宋体" w:hAnsi="宋体" w:eastAsia="宋体" w:cs="宋体"/>
              </w:rPr>
              <w:t>该公司目前在音体美器材、教学仪器、课桌椅床、办公用品、书架、幼儿玩具（对儿童有危害的除外）的销售提供过程中没有附加要求。</w:t>
            </w:r>
          </w:p>
        </w:tc>
        <w:tc>
          <w:tcPr>
            <w:tcW w:w="1585"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l2br w:val="nil"/>
              <w:tr2bl w:val="nil"/>
            </w:tcBorders>
            <w:vAlign w:val="center"/>
          </w:tcPr>
          <w:p>
            <w:pPr>
              <w:spacing w:line="360" w:lineRule="auto"/>
              <w:rPr>
                <w:rFonts w:hint="eastAsia" w:ascii="宋体" w:hAnsi="宋体" w:eastAsia="宋体" w:cs="宋体"/>
              </w:rPr>
            </w:pPr>
            <w:r>
              <w:rPr>
                <w:rFonts w:hint="eastAsia" w:ascii="宋体" w:hAnsi="宋体" w:eastAsia="宋体" w:cs="宋体"/>
                <w:szCs w:val="21"/>
              </w:rPr>
              <w:t>与产品和服务要求有关的要求评审</w:t>
            </w:r>
          </w:p>
        </w:tc>
        <w:tc>
          <w:tcPr>
            <w:tcW w:w="960" w:type="dxa"/>
            <w:tcBorders>
              <w:tl2br w:val="nil"/>
              <w:tr2bl w:val="nil"/>
            </w:tcBorders>
            <w:vAlign w:val="center"/>
          </w:tcPr>
          <w:p>
            <w:pPr>
              <w:spacing w:line="360" w:lineRule="auto"/>
              <w:rPr>
                <w:rFonts w:hint="eastAsia" w:ascii="宋体" w:hAnsi="宋体" w:eastAsia="宋体" w:cs="宋体"/>
                <w:szCs w:val="21"/>
              </w:rPr>
            </w:pPr>
            <w:r>
              <w:rPr>
                <w:rFonts w:hint="eastAsia" w:ascii="宋体" w:hAnsi="宋体" w:eastAsia="宋体" w:cs="宋体"/>
                <w:szCs w:val="21"/>
              </w:rPr>
              <w:t>Q8.2.3</w:t>
            </w:r>
          </w:p>
          <w:p>
            <w:pPr>
              <w:spacing w:line="360" w:lineRule="auto"/>
              <w:rPr>
                <w:rFonts w:hint="eastAsia" w:ascii="宋体" w:hAnsi="宋体" w:eastAsia="宋体" w:cs="宋体"/>
              </w:rPr>
            </w:pPr>
          </w:p>
        </w:tc>
        <w:tc>
          <w:tcPr>
            <w:tcW w:w="10004" w:type="dxa"/>
            <w:tcBorders>
              <w:tl2br w:val="nil"/>
              <w:tr2bl w:val="nil"/>
            </w:tcBorders>
            <w:vAlign w:val="center"/>
          </w:tcPr>
          <w:p>
            <w:pPr>
              <w:spacing w:line="360" w:lineRule="auto"/>
              <w:ind w:firstLine="420" w:firstLineChars="200"/>
              <w:rPr>
                <w:rFonts w:hint="eastAsia" w:ascii="宋体" w:hAnsi="宋体" w:eastAsia="宋体" w:cs="宋体"/>
              </w:rPr>
            </w:pPr>
            <w:r>
              <w:rPr>
                <w:rFonts w:hint="eastAsia" w:ascii="宋体" w:hAnsi="宋体" w:eastAsia="宋体" w:cs="宋体"/>
              </w:rPr>
              <w:t>该公司与产品有关要求主要在合同中体现，在合同签订之前，由总经理组织各相关部门以会议或会签的方式进行评审。</w:t>
            </w:r>
          </w:p>
          <w:p>
            <w:pPr>
              <w:spacing w:line="360" w:lineRule="auto"/>
              <w:ind w:firstLine="420" w:firstLineChars="200"/>
              <w:rPr>
                <w:rFonts w:hint="eastAsia" w:ascii="宋体" w:hAnsi="宋体" w:eastAsia="宋体" w:cs="宋体"/>
              </w:rPr>
            </w:pPr>
            <w:r>
              <w:rPr>
                <w:rFonts w:hint="eastAsia" w:ascii="宋体" w:hAnsi="宋体" w:eastAsia="宋体" w:cs="宋体"/>
              </w:rPr>
              <w:t>查见《合同台帐》，内容包括：序号、顾客名称、合同编号、项目名称、规格型号、评审日期、签订日期、履行情况。</w:t>
            </w:r>
          </w:p>
          <w:p>
            <w:pPr>
              <w:spacing w:line="360" w:lineRule="auto"/>
              <w:ind w:firstLine="420" w:firstLineChars="200"/>
              <w:rPr>
                <w:rFonts w:hint="eastAsia" w:ascii="宋体" w:hAnsi="宋体" w:eastAsia="宋体" w:cs="宋体"/>
              </w:rPr>
            </w:pPr>
            <w:r>
              <w:rPr>
                <w:rFonts w:hint="eastAsia" w:ascii="宋体" w:hAnsi="宋体" w:eastAsia="宋体" w:cs="宋体"/>
              </w:rPr>
              <w:t xml:space="preserve">顾客名称                             物品名称  </w:t>
            </w:r>
          </w:p>
          <w:p>
            <w:pPr>
              <w:spacing w:line="360" w:lineRule="auto"/>
              <w:rPr>
                <w:rFonts w:hint="default" w:ascii="宋体" w:hAnsi="宋体" w:eastAsia="宋体" w:cs="宋体"/>
                <w:lang w:val="en-US" w:eastAsia="zh-CN"/>
              </w:rPr>
            </w:pPr>
            <w:r>
              <w:rPr>
                <w:rFonts w:hint="eastAsia" w:ascii="宋体" w:hAnsi="宋体" w:cs="宋体"/>
                <w:lang w:val="en-US" w:eastAsia="zh-CN"/>
              </w:rPr>
              <w:t>玉田县</w:t>
            </w:r>
            <w:r>
              <w:rPr>
                <w:rFonts w:hint="eastAsia" w:ascii="宋体" w:hAnsi="宋体" w:eastAsia="宋体" w:cs="宋体"/>
              </w:rPr>
              <w:t xml:space="preserve">教育局                 </w:t>
            </w:r>
            <w:r>
              <w:rPr>
                <w:rFonts w:hint="eastAsia" w:ascii="宋体" w:hAnsi="宋体" w:cs="宋体"/>
                <w:lang w:val="en-US" w:eastAsia="zh-CN"/>
              </w:rPr>
              <w:t>组合滑梯、幼儿爬山坡、铁制荡桥、轮胎架、交通标志桶、神奇拼插等</w:t>
            </w:r>
          </w:p>
          <w:p>
            <w:pPr>
              <w:spacing w:line="360" w:lineRule="auto"/>
              <w:ind w:firstLine="420" w:firstLineChars="200"/>
              <w:rPr>
                <w:rFonts w:hint="eastAsia" w:ascii="宋体" w:hAnsi="宋体" w:eastAsia="宋体" w:cs="宋体"/>
              </w:rPr>
            </w:pPr>
            <w:r>
              <w:rPr>
                <w:rFonts w:hint="eastAsia" w:ascii="宋体" w:hAnsi="宋体" w:eastAsia="宋体" w:cs="宋体"/>
              </w:rPr>
              <w:t>抽查1、20</w:t>
            </w:r>
            <w:r>
              <w:rPr>
                <w:rFonts w:hint="eastAsia" w:ascii="宋体" w:hAnsi="宋体" w:cs="宋体"/>
                <w:lang w:val="en-US" w:eastAsia="zh-CN"/>
              </w:rPr>
              <w:t>20</w:t>
            </w:r>
            <w:r>
              <w:rPr>
                <w:rFonts w:hint="eastAsia" w:ascii="宋体" w:hAnsi="宋体" w:eastAsia="宋体" w:cs="宋体"/>
              </w:rPr>
              <w:t>.</w:t>
            </w:r>
            <w:r>
              <w:rPr>
                <w:rFonts w:hint="eastAsia" w:ascii="宋体" w:hAnsi="宋体" w:cs="宋体"/>
                <w:lang w:val="en-US" w:eastAsia="zh-CN"/>
              </w:rPr>
              <w:t>11</w:t>
            </w:r>
            <w:r>
              <w:rPr>
                <w:rFonts w:hint="eastAsia" w:ascii="宋体" w:hAnsi="宋体" w:eastAsia="宋体" w:cs="宋体"/>
              </w:rPr>
              <w:t>.</w:t>
            </w:r>
            <w:r>
              <w:rPr>
                <w:rFonts w:hint="eastAsia" w:ascii="宋体" w:hAnsi="宋体" w:cs="宋体"/>
                <w:lang w:val="en-US" w:eastAsia="zh-CN"/>
              </w:rPr>
              <w:t>13</w:t>
            </w:r>
            <w:r>
              <w:rPr>
                <w:rFonts w:hint="eastAsia" w:ascii="宋体" w:hAnsi="宋体" w:eastAsia="宋体" w:cs="宋体"/>
              </w:rPr>
              <w:t>与</w:t>
            </w:r>
            <w:r>
              <w:rPr>
                <w:rFonts w:hint="eastAsia" w:ascii="宋体" w:hAnsi="宋体" w:cs="宋体"/>
                <w:lang w:val="en-US" w:eastAsia="zh-CN"/>
              </w:rPr>
              <w:t>玉田县</w:t>
            </w:r>
            <w:r>
              <w:rPr>
                <w:rFonts w:hint="eastAsia" w:ascii="宋体" w:hAnsi="宋体" w:eastAsia="宋体" w:cs="宋体"/>
              </w:rPr>
              <w:t>教育局签订的《销售合同》合同评审日期：20</w:t>
            </w:r>
            <w:r>
              <w:rPr>
                <w:rFonts w:hint="eastAsia" w:ascii="宋体" w:hAnsi="宋体" w:cs="宋体"/>
                <w:lang w:val="en-US" w:eastAsia="zh-CN"/>
              </w:rPr>
              <w:t>20</w:t>
            </w:r>
            <w:r>
              <w:rPr>
                <w:rFonts w:hint="eastAsia" w:ascii="宋体" w:hAnsi="宋体" w:eastAsia="宋体" w:cs="宋体"/>
              </w:rPr>
              <w:t>年</w:t>
            </w:r>
            <w:r>
              <w:rPr>
                <w:rFonts w:hint="eastAsia" w:ascii="宋体" w:hAnsi="宋体" w:cs="宋体"/>
                <w:lang w:val="en-US" w:eastAsia="zh-CN"/>
              </w:rPr>
              <w:t>11</w:t>
            </w:r>
            <w:r>
              <w:rPr>
                <w:rFonts w:hint="eastAsia" w:ascii="宋体" w:hAnsi="宋体" w:eastAsia="宋体" w:cs="宋体"/>
              </w:rPr>
              <w:t>月</w:t>
            </w:r>
            <w:r>
              <w:rPr>
                <w:rFonts w:hint="eastAsia" w:ascii="宋体" w:hAnsi="宋体" w:cs="宋体"/>
                <w:lang w:val="en-US" w:eastAsia="zh-CN"/>
              </w:rPr>
              <w:t>11</w:t>
            </w:r>
            <w:r>
              <w:rPr>
                <w:rFonts w:hint="eastAsia" w:ascii="宋体" w:hAnsi="宋体" w:eastAsia="宋体" w:cs="宋体"/>
              </w:rPr>
              <w:t>日，参加评审的有：销售部、综合部等部门负责人，总经理审批，同意签订此合同。</w:t>
            </w:r>
          </w:p>
          <w:p>
            <w:pPr>
              <w:spacing w:line="360" w:lineRule="auto"/>
              <w:ind w:firstLine="420" w:firstLineChars="200"/>
              <w:rPr>
                <w:rFonts w:hint="eastAsia" w:ascii="宋体" w:hAnsi="宋体" w:eastAsia="宋体" w:cs="宋体"/>
              </w:rPr>
            </w:pPr>
            <w:r>
              <w:rPr>
                <w:rFonts w:hint="eastAsia" w:ascii="宋体" w:hAnsi="宋体" w:eastAsia="宋体" w:cs="宋体"/>
              </w:rPr>
              <w:t>评审在合同签订之前进行。符合要求。</w:t>
            </w:r>
          </w:p>
          <w:p>
            <w:pPr>
              <w:spacing w:line="360" w:lineRule="auto"/>
              <w:ind w:firstLine="420" w:firstLineChars="200"/>
              <w:rPr>
                <w:rFonts w:hint="eastAsia" w:ascii="宋体" w:hAnsi="宋体" w:eastAsia="宋体" w:cs="宋体"/>
              </w:rPr>
            </w:pPr>
            <w:r>
              <w:rPr>
                <w:rFonts w:hint="eastAsia" w:ascii="宋体" w:hAnsi="宋体" w:eastAsia="宋体" w:cs="宋体"/>
              </w:rPr>
              <w:t>又抽唐县教育局签订的销售合同。</w:t>
            </w:r>
          </w:p>
          <w:p>
            <w:pPr>
              <w:spacing w:line="360" w:lineRule="auto"/>
              <w:ind w:firstLine="420" w:firstLineChars="200"/>
              <w:rPr>
                <w:rFonts w:hint="eastAsia" w:ascii="宋体" w:hAnsi="宋体" w:eastAsia="宋体" w:cs="宋体"/>
              </w:rPr>
            </w:pPr>
            <w:r>
              <w:rPr>
                <w:rFonts w:hint="eastAsia" w:ascii="宋体" w:hAnsi="宋体" w:eastAsia="宋体" w:cs="宋体"/>
              </w:rPr>
              <w:t>评审内容包括交付期限、价格、质量要求、交付要求、法规要求、缺陷责任期等要求5项。评审结果：同意。总经理：张荣才。</w:t>
            </w:r>
          </w:p>
          <w:p>
            <w:pPr>
              <w:spacing w:line="360" w:lineRule="auto"/>
              <w:ind w:firstLine="420" w:firstLineChars="200"/>
              <w:rPr>
                <w:rFonts w:hint="eastAsia" w:ascii="宋体" w:hAnsi="宋体" w:eastAsia="宋体" w:cs="宋体"/>
              </w:rPr>
            </w:pPr>
            <w:r>
              <w:rPr>
                <w:rFonts w:hint="eastAsia" w:ascii="宋体" w:hAnsi="宋体" w:eastAsia="宋体" w:cs="宋体"/>
              </w:rPr>
              <w:t>在投标阶段也进行了评审，但未保留记录，口头交流。</w:t>
            </w:r>
          </w:p>
          <w:p>
            <w:pPr>
              <w:spacing w:line="360" w:lineRule="auto"/>
              <w:rPr>
                <w:rFonts w:hint="eastAsia" w:ascii="宋体" w:hAnsi="宋体" w:eastAsia="宋体" w:cs="宋体"/>
              </w:rPr>
            </w:pPr>
            <w:r>
              <w:rPr>
                <w:rFonts w:hint="eastAsia" w:ascii="宋体" w:hAnsi="宋体" w:eastAsia="宋体" w:cs="宋体"/>
              </w:rPr>
              <w:t>经查基本符合要求。</w:t>
            </w:r>
          </w:p>
        </w:tc>
        <w:tc>
          <w:tcPr>
            <w:tcW w:w="1585"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160" w:type="dxa"/>
            <w:tcBorders>
              <w:tl2br w:val="nil"/>
              <w:tr2bl w:val="nil"/>
            </w:tcBorders>
            <w:vAlign w:val="center"/>
          </w:tcPr>
          <w:p>
            <w:pPr>
              <w:spacing w:line="360" w:lineRule="auto"/>
              <w:rPr>
                <w:rFonts w:hint="eastAsia" w:ascii="宋体" w:hAnsi="宋体" w:eastAsia="宋体" w:cs="宋体"/>
              </w:rPr>
            </w:pPr>
            <w:r>
              <w:rPr>
                <w:rFonts w:hint="eastAsia" w:ascii="宋体" w:hAnsi="宋体" w:eastAsia="宋体" w:cs="宋体"/>
                <w:szCs w:val="21"/>
              </w:rPr>
              <w:t>产品和服务要求的变更</w:t>
            </w:r>
          </w:p>
        </w:tc>
        <w:tc>
          <w:tcPr>
            <w:tcW w:w="960" w:type="dxa"/>
            <w:tcBorders>
              <w:tl2br w:val="nil"/>
              <w:tr2bl w:val="nil"/>
            </w:tcBorders>
            <w:vAlign w:val="center"/>
          </w:tcPr>
          <w:p>
            <w:pPr>
              <w:spacing w:line="360" w:lineRule="auto"/>
              <w:rPr>
                <w:rFonts w:hint="eastAsia" w:ascii="宋体" w:hAnsi="宋体" w:eastAsia="宋体" w:cs="宋体"/>
                <w:szCs w:val="21"/>
              </w:rPr>
            </w:pPr>
            <w:r>
              <w:rPr>
                <w:rFonts w:hint="eastAsia" w:ascii="宋体" w:hAnsi="宋体" w:eastAsia="宋体" w:cs="宋体"/>
                <w:szCs w:val="21"/>
              </w:rPr>
              <w:t>Q8.2.4</w:t>
            </w:r>
          </w:p>
          <w:p>
            <w:pPr>
              <w:spacing w:line="360" w:lineRule="auto"/>
              <w:rPr>
                <w:rFonts w:hint="eastAsia" w:ascii="宋体" w:hAnsi="宋体" w:eastAsia="宋体" w:cs="宋体"/>
              </w:rPr>
            </w:pPr>
          </w:p>
        </w:tc>
        <w:tc>
          <w:tcPr>
            <w:tcW w:w="10004" w:type="dxa"/>
            <w:tcBorders>
              <w:tl2br w:val="nil"/>
              <w:tr2bl w:val="nil"/>
            </w:tcBorders>
            <w:vAlign w:val="center"/>
          </w:tcPr>
          <w:p>
            <w:pPr>
              <w:spacing w:line="360" w:lineRule="auto"/>
              <w:rPr>
                <w:rFonts w:hint="eastAsia" w:ascii="宋体" w:hAnsi="宋体" w:eastAsia="宋体" w:cs="宋体"/>
              </w:rPr>
            </w:pPr>
            <w:r>
              <w:rPr>
                <w:rFonts w:hint="eastAsia" w:ascii="宋体" w:hAnsi="宋体" w:eastAsia="宋体" w:cs="宋体"/>
                <w:szCs w:val="21"/>
              </w:rPr>
              <w:t>以上合同自签订后未出现合同变更或顾客要求发生变更造成与先前合同或订单要求表述存在差异的情况。</w:t>
            </w:r>
          </w:p>
        </w:tc>
        <w:tc>
          <w:tcPr>
            <w:tcW w:w="1585"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60" w:type="dxa"/>
            <w:tcBorders>
              <w:tl2br w:val="nil"/>
              <w:tr2bl w:val="nil"/>
            </w:tcBorders>
            <w:vAlign w:val="center"/>
          </w:tcPr>
          <w:p>
            <w:pPr>
              <w:spacing w:line="360" w:lineRule="auto"/>
              <w:rPr>
                <w:rFonts w:hint="eastAsia" w:ascii="宋体" w:hAnsi="宋体" w:eastAsia="宋体" w:cs="宋体"/>
              </w:rPr>
            </w:pPr>
            <w:r>
              <w:rPr>
                <w:rFonts w:hint="eastAsia" w:ascii="宋体" w:hAnsi="宋体" w:eastAsia="宋体" w:cs="宋体"/>
                <w:szCs w:val="21"/>
              </w:rPr>
              <w:t>设计和开发</w:t>
            </w:r>
          </w:p>
        </w:tc>
        <w:tc>
          <w:tcPr>
            <w:tcW w:w="960" w:type="dxa"/>
            <w:tcBorders>
              <w:tl2br w:val="nil"/>
              <w:tr2bl w:val="nil"/>
            </w:tcBorders>
            <w:vAlign w:val="center"/>
          </w:tcPr>
          <w:p>
            <w:pPr>
              <w:spacing w:line="360" w:lineRule="auto"/>
              <w:rPr>
                <w:rFonts w:hint="eastAsia" w:ascii="宋体" w:hAnsi="宋体" w:eastAsia="宋体" w:cs="宋体"/>
              </w:rPr>
            </w:pPr>
            <w:r>
              <w:rPr>
                <w:rFonts w:hint="eastAsia" w:ascii="宋体" w:hAnsi="宋体" w:eastAsia="宋体" w:cs="宋体"/>
                <w:szCs w:val="21"/>
              </w:rPr>
              <w:t>Q8.3</w:t>
            </w:r>
          </w:p>
        </w:tc>
        <w:tc>
          <w:tcPr>
            <w:tcW w:w="10004" w:type="dxa"/>
            <w:tcBorders>
              <w:tl2br w:val="nil"/>
              <w:tr2bl w:val="nil"/>
            </w:tcBorders>
          </w:tcPr>
          <w:p>
            <w:pPr>
              <w:spacing w:line="360" w:lineRule="auto"/>
              <w:rPr>
                <w:rFonts w:hint="eastAsia" w:ascii="宋体" w:hAnsi="宋体" w:eastAsia="宋体" w:cs="宋体"/>
              </w:rPr>
            </w:pPr>
            <w:r>
              <w:rPr>
                <w:rFonts w:hint="eastAsia" w:ascii="宋体" w:hAnsi="宋体" w:eastAsia="宋体" w:cs="宋体"/>
                <w:szCs w:val="21"/>
              </w:rPr>
              <w:t>公司销售过程成熟无设计开发需求，该条款不适宜。</w:t>
            </w:r>
          </w:p>
        </w:tc>
        <w:tc>
          <w:tcPr>
            <w:tcW w:w="1585"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Borders>
              <w:tl2br w:val="nil"/>
              <w:tr2bl w:val="nil"/>
            </w:tcBorders>
            <w:vAlign w:val="center"/>
          </w:tcPr>
          <w:p>
            <w:pPr>
              <w:spacing w:line="360" w:lineRule="auto"/>
              <w:rPr>
                <w:rFonts w:hint="eastAsia" w:ascii="宋体" w:hAnsi="宋体" w:eastAsia="宋体" w:cs="宋体"/>
              </w:rPr>
            </w:pPr>
            <w:r>
              <w:rPr>
                <w:rFonts w:hint="eastAsia" w:ascii="宋体" w:hAnsi="宋体" w:eastAsia="宋体" w:cs="宋体"/>
                <w:szCs w:val="21"/>
              </w:rPr>
              <w:t>外部提供过程、产品和服务的控制</w:t>
            </w:r>
          </w:p>
        </w:tc>
        <w:tc>
          <w:tcPr>
            <w:tcW w:w="960" w:type="dxa"/>
            <w:tcBorders>
              <w:tl2br w:val="nil"/>
              <w:tr2bl w:val="nil"/>
            </w:tcBorders>
            <w:vAlign w:val="center"/>
          </w:tcPr>
          <w:p>
            <w:pPr>
              <w:spacing w:line="360" w:lineRule="auto"/>
              <w:rPr>
                <w:rFonts w:hint="eastAsia" w:ascii="宋体" w:hAnsi="宋体" w:eastAsia="宋体" w:cs="宋体"/>
              </w:rPr>
            </w:pPr>
            <w:r>
              <w:rPr>
                <w:rFonts w:hint="eastAsia" w:ascii="宋体" w:hAnsi="宋体" w:eastAsia="宋体" w:cs="宋体"/>
                <w:szCs w:val="21"/>
              </w:rPr>
              <w:t>Q8.4</w:t>
            </w:r>
          </w:p>
        </w:tc>
        <w:tc>
          <w:tcPr>
            <w:tcW w:w="10004" w:type="dxa"/>
            <w:tcBorders>
              <w:tl2br w:val="nil"/>
              <w:tr2bl w:val="nil"/>
            </w:tcBorders>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为确保采购产品符合要求公司根据采购产品对最终产品影响进采购产品分类：</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重要物资：采购的认证范围内的音体美用品等销售。</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辅助物资：自己使用的办公室产品等。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查供方评价准则：评价内容有：企业资质、生产能力、质量业绩、价格、满意度情况、交货期。</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查：合格供方目录：音体美器材、教学仪器、课桌椅床、办公用品、书架、幼儿玩具（对儿童有危害的除外）的销售等数量同前。</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合格供方名单及采购产品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1、供方：</w:t>
            </w:r>
            <w:r>
              <w:rPr>
                <w:rFonts w:hint="eastAsia" w:ascii="宋体" w:hAnsi="宋体" w:eastAsia="宋体" w:cs="宋体"/>
                <w:szCs w:val="21"/>
              </w:rPr>
              <w:tab/>
            </w:r>
            <w:r>
              <w:rPr>
                <w:rFonts w:hint="eastAsia" w:ascii="宋体" w:hAnsi="宋体" w:eastAsia="宋体" w:cs="宋体"/>
                <w:szCs w:val="21"/>
              </w:rPr>
              <w:t>盐山县强森体育器材有限公司</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音体美器材、教学仪器、课桌椅床等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2、供方：石家庄振鹏玩具厂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打击乐器、投影仪等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3、供方：石家庄汇源玩具厂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积木、桌面、电子白板等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抽1、2、3合格供方评价表。内容有企业资质、生产能力、质量业绩、价格、服务情况、交货期。符合要求。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无外包过程</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每年对合格供方进行重新评价12月进行，无变化。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销售部依据订单进行采购，传递采购信息。不再单独编制采购计划。根据销售合同进行销售，从合格供方中进行采购。</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以上供方在合格供方范围内，采购部门确定采购产品验证方法和验收准则：验收：名称、质量、数量、包装、标识等，结论：合格。</w:t>
            </w:r>
          </w:p>
          <w:p>
            <w:pPr>
              <w:spacing w:line="360" w:lineRule="auto"/>
              <w:ind w:firstLine="420" w:firstLineChars="200"/>
              <w:rPr>
                <w:rFonts w:hint="eastAsia" w:ascii="宋体" w:hAnsi="宋体" w:eastAsia="宋体" w:cs="宋体"/>
              </w:rPr>
            </w:pPr>
            <w:r>
              <w:rPr>
                <w:rFonts w:hint="eastAsia" w:ascii="宋体" w:hAnsi="宋体" w:eastAsia="宋体" w:cs="宋体"/>
                <w:szCs w:val="21"/>
              </w:rPr>
              <w:t>查：供方现场实施检验目前无。</w:t>
            </w:r>
          </w:p>
        </w:tc>
        <w:tc>
          <w:tcPr>
            <w:tcW w:w="1585"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l2br w:val="nil"/>
              <w:tr2bl w:val="nil"/>
            </w:tcBorders>
            <w:vAlign w:val="center"/>
          </w:tcPr>
          <w:p>
            <w:pPr>
              <w:spacing w:line="360" w:lineRule="auto"/>
              <w:rPr>
                <w:rFonts w:hint="eastAsia" w:ascii="宋体" w:hAnsi="宋体" w:eastAsia="宋体" w:cs="宋体"/>
                <w:szCs w:val="21"/>
              </w:rPr>
            </w:pPr>
            <w:r>
              <w:rPr>
                <w:rFonts w:hint="eastAsia" w:ascii="宋体" w:hAnsi="宋体" w:eastAsia="宋体" w:cs="宋体"/>
                <w:szCs w:val="21"/>
              </w:rPr>
              <w:t>产品和服务要求的评审/生产和服务提供的控制</w: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r>
              <w:rPr>
                <w:rFonts w:hint="eastAsia" w:ascii="宋体" w:hAnsi="宋体" w:eastAsia="宋体" w:cs="宋体"/>
                <w:szCs w:val="21"/>
              </w:rPr>
              <w:t>产品和服务放行</w: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r>
              <w:rPr>
                <w:rFonts w:hint="eastAsia" w:ascii="宋体" w:hAnsi="宋体" w:eastAsia="宋体" w:cs="宋体"/>
                <w:szCs w:val="21"/>
              </w:rPr>
              <w:t>产品和服务要求的变更/更改控制</w: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r>
              <w:rPr>
                <w:rFonts w:hint="eastAsia" w:ascii="宋体" w:hAnsi="宋体" w:eastAsia="宋体" w:cs="宋体"/>
                <w:szCs w:val="21"/>
              </w:rPr>
              <w:t>标识和可追溯性</w: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r>
              <w:rPr>
                <w:rFonts w:hint="eastAsia" w:ascii="宋体" w:hAnsi="宋体" w:eastAsia="宋体" w:cs="宋体"/>
                <w:szCs w:val="21"/>
              </w:rPr>
              <w:t>顾客或供方财产</w: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r>
              <w:rPr>
                <w:rFonts w:hint="eastAsia" w:ascii="宋体" w:hAnsi="宋体" w:eastAsia="宋体" w:cs="宋体"/>
                <w:szCs w:val="21"/>
              </w:rPr>
              <w:t>防护</w: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r>
              <w:rPr>
                <w:rFonts w:hint="eastAsia" w:ascii="宋体" w:hAnsi="宋体" w:eastAsia="宋体" w:cs="宋体"/>
                <w:szCs w:val="21"/>
              </w:rPr>
              <w:t>交付后活动</w:t>
            </w:r>
          </w:p>
          <w:p>
            <w:pPr>
              <w:spacing w:line="360" w:lineRule="auto"/>
              <w:rPr>
                <w:rFonts w:hint="eastAsia" w:ascii="宋体" w:hAnsi="宋体" w:eastAsia="宋体" w:cs="宋体"/>
              </w:rPr>
            </w:pPr>
          </w:p>
        </w:tc>
        <w:tc>
          <w:tcPr>
            <w:tcW w:w="960" w:type="dxa"/>
            <w:tcBorders>
              <w:tl2br w:val="nil"/>
              <w:tr2bl w:val="nil"/>
            </w:tcBorders>
            <w:vAlign w:val="center"/>
          </w:tcPr>
          <w:p>
            <w:pPr>
              <w:spacing w:line="360" w:lineRule="auto"/>
              <w:rPr>
                <w:rFonts w:hint="eastAsia" w:ascii="宋体" w:hAnsi="宋体" w:eastAsia="宋体" w:cs="宋体"/>
                <w:szCs w:val="21"/>
              </w:rPr>
            </w:pPr>
            <w:r>
              <w:rPr>
                <w:rFonts w:hint="eastAsia" w:ascii="宋体" w:hAnsi="宋体" w:eastAsia="宋体" w:cs="宋体"/>
                <w:szCs w:val="21"/>
              </w:rPr>
              <w:t>Q8.5</w: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r>
              <w:rPr>
                <w:rFonts w:hint="eastAsia" w:ascii="宋体" w:hAnsi="宋体" w:eastAsia="宋体" w:cs="宋体"/>
                <w:szCs w:val="21"/>
              </w:rPr>
              <w:t>Q8.6</w: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r>
              <w:rPr>
                <w:rFonts w:hint="eastAsia" w:ascii="宋体" w:hAnsi="宋体" w:eastAsia="宋体" w:cs="宋体"/>
                <w:szCs w:val="21"/>
              </w:rPr>
              <w:t>Q8.2.4/</w:t>
            </w:r>
          </w:p>
          <w:p>
            <w:pPr>
              <w:spacing w:line="360" w:lineRule="auto"/>
              <w:rPr>
                <w:rFonts w:hint="eastAsia" w:ascii="宋体" w:hAnsi="宋体" w:eastAsia="宋体" w:cs="宋体"/>
                <w:szCs w:val="21"/>
              </w:rPr>
            </w:pPr>
            <w:r>
              <w:rPr>
                <w:rFonts w:hint="eastAsia" w:ascii="宋体" w:hAnsi="宋体" w:eastAsia="宋体" w:cs="宋体"/>
                <w:szCs w:val="21"/>
              </w:rPr>
              <w:t>Q8.5.6</w: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r>
              <w:rPr>
                <w:rFonts w:hint="eastAsia" w:ascii="宋体" w:hAnsi="宋体" w:eastAsia="宋体" w:cs="宋体"/>
                <w:szCs w:val="21"/>
              </w:rPr>
              <w:t>Q8.5.2</w: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r>
              <w:rPr>
                <w:rFonts w:hint="eastAsia" w:ascii="宋体" w:hAnsi="宋体" w:eastAsia="宋体" w:cs="宋体"/>
                <w:szCs w:val="21"/>
              </w:rPr>
              <w:t>Q8.5.3</w: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r>
              <w:rPr>
                <w:rFonts w:hint="eastAsia" w:ascii="宋体" w:hAnsi="宋体" w:eastAsia="宋体" w:cs="宋体"/>
                <w:szCs w:val="21"/>
              </w:rPr>
              <w:t>Q8.5.4</w: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r>
              <w:rPr>
                <w:rFonts w:hint="eastAsia" w:ascii="宋体" w:hAnsi="宋体" w:eastAsia="宋体" w:cs="宋体"/>
                <w:szCs w:val="21"/>
              </w:rPr>
              <w:t>Q8.5.5</w:t>
            </w:r>
          </w:p>
          <w:p>
            <w:pPr>
              <w:spacing w:line="360" w:lineRule="auto"/>
              <w:rPr>
                <w:rFonts w:hint="eastAsia" w:ascii="宋体" w:hAnsi="宋体" w:eastAsia="宋体" w:cs="宋体"/>
              </w:rPr>
            </w:pPr>
          </w:p>
        </w:tc>
        <w:tc>
          <w:tcPr>
            <w:tcW w:w="10004" w:type="dxa"/>
            <w:tcBorders>
              <w:tl2br w:val="nil"/>
              <w:tr2bl w:val="nil"/>
            </w:tcBorders>
          </w:tcPr>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公司产品音体美器材、教学仪器、课桌椅床、办公用品、书架、幼儿玩具（对儿童有危害的除外）的销售</w:t>
            </w:r>
            <w:r>
              <w:rPr>
                <w:rFonts w:hint="eastAsia" w:ascii="宋体" w:hAnsi="宋体" w:eastAsia="宋体" w:cs="宋体"/>
                <w:szCs w:val="21"/>
                <w:lang w:eastAsia="zh-CN"/>
              </w:rPr>
              <w:t>。</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查见公司合同记录于《合同台帐》中，从20</w:t>
            </w:r>
            <w:r>
              <w:rPr>
                <w:rFonts w:hint="eastAsia" w:ascii="宋体" w:hAnsi="宋体" w:cs="宋体"/>
                <w:szCs w:val="21"/>
                <w:lang w:val="en-US" w:eastAsia="zh-CN"/>
              </w:rPr>
              <w:t>20</w:t>
            </w:r>
            <w:r>
              <w:rPr>
                <w:rFonts w:hint="eastAsia" w:ascii="宋体" w:hAnsi="宋体" w:eastAsia="宋体" w:cs="宋体"/>
                <w:szCs w:val="21"/>
              </w:rPr>
              <w:t>年</w:t>
            </w:r>
            <w:r>
              <w:rPr>
                <w:rFonts w:hint="eastAsia" w:ascii="宋体" w:hAnsi="宋体" w:cs="宋体"/>
                <w:szCs w:val="21"/>
                <w:lang w:val="en-US" w:eastAsia="zh-CN"/>
              </w:rPr>
              <w:t>11</w:t>
            </w:r>
            <w:r>
              <w:rPr>
                <w:rFonts w:hint="eastAsia" w:ascii="宋体" w:hAnsi="宋体" w:eastAsia="宋体" w:cs="宋体"/>
                <w:szCs w:val="21"/>
              </w:rPr>
              <w:t>月至今共签订</w:t>
            </w:r>
            <w:r>
              <w:rPr>
                <w:rFonts w:hint="eastAsia" w:ascii="宋体" w:hAnsi="宋体" w:cs="宋体"/>
                <w:szCs w:val="21"/>
                <w:lang w:val="en-US" w:eastAsia="zh-CN"/>
              </w:rPr>
              <w:t>1</w:t>
            </w:r>
            <w:r>
              <w:rPr>
                <w:rFonts w:hint="eastAsia" w:ascii="宋体" w:hAnsi="宋体" w:eastAsia="宋体" w:cs="宋体"/>
                <w:szCs w:val="21"/>
              </w:rPr>
              <w:t>份销售合同。合同可以覆盖认证范围抽查与客户签订的订单/合同：</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查1：20</w:t>
            </w:r>
            <w:r>
              <w:rPr>
                <w:rFonts w:hint="eastAsia" w:ascii="宋体" w:hAnsi="宋体" w:cs="宋体"/>
                <w:szCs w:val="21"/>
                <w:lang w:val="en-US" w:eastAsia="zh-CN"/>
              </w:rPr>
              <w:t>20</w:t>
            </w:r>
            <w:r>
              <w:rPr>
                <w:rFonts w:hint="eastAsia" w:ascii="宋体" w:hAnsi="宋体" w:eastAsia="宋体" w:cs="宋体"/>
                <w:szCs w:val="21"/>
              </w:rPr>
              <w:t>年</w:t>
            </w:r>
            <w:r>
              <w:rPr>
                <w:rFonts w:hint="eastAsia" w:ascii="宋体" w:hAnsi="宋体" w:cs="宋体"/>
                <w:szCs w:val="21"/>
                <w:lang w:val="en-US" w:eastAsia="zh-CN"/>
              </w:rPr>
              <w:t>11</w:t>
            </w:r>
            <w:r>
              <w:rPr>
                <w:rFonts w:hint="eastAsia" w:ascii="宋体" w:hAnsi="宋体" w:eastAsia="宋体" w:cs="宋体"/>
                <w:szCs w:val="21"/>
              </w:rPr>
              <w:t>月</w:t>
            </w:r>
            <w:r>
              <w:rPr>
                <w:rFonts w:hint="eastAsia" w:ascii="宋体" w:hAnsi="宋体" w:cs="宋体"/>
                <w:szCs w:val="21"/>
                <w:lang w:val="en-US" w:eastAsia="zh-CN"/>
              </w:rPr>
              <w:t>13</w:t>
            </w:r>
            <w:r>
              <w:rPr>
                <w:rFonts w:hint="eastAsia" w:ascii="宋体" w:hAnsi="宋体" w:eastAsia="宋体" w:cs="宋体"/>
                <w:szCs w:val="21"/>
              </w:rPr>
              <w:t>日签订的《销售合同》</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顾客：</w:t>
            </w:r>
            <w:r>
              <w:rPr>
                <w:rFonts w:hint="eastAsia" w:ascii="宋体" w:hAnsi="宋体" w:cs="宋体"/>
                <w:lang w:val="en-US" w:eastAsia="zh-CN"/>
              </w:rPr>
              <w:t>玉田县</w:t>
            </w:r>
            <w:r>
              <w:rPr>
                <w:rFonts w:hint="eastAsia" w:ascii="宋体" w:hAnsi="宋体" w:eastAsia="宋体" w:cs="宋体"/>
              </w:rPr>
              <w:t>教育局</w:t>
            </w:r>
            <w:r>
              <w:rPr>
                <w:rFonts w:hint="eastAsia" w:ascii="宋体" w:hAnsi="宋体" w:eastAsia="宋体" w:cs="宋体"/>
                <w:szCs w:val="21"/>
              </w:rPr>
              <w:t xml:space="preserve"> ，提供产品：</w:t>
            </w:r>
            <w:r>
              <w:rPr>
                <w:rFonts w:hint="eastAsia" w:ascii="宋体" w:hAnsi="宋体" w:eastAsia="宋体" w:cs="宋体"/>
              </w:rPr>
              <w:t xml:space="preserve"> </w:t>
            </w:r>
            <w:r>
              <w:rPr>
                <w:rFonts w:hint="eastAsia" w:ascii="宋体" w:hAnsi="宋体" w:cs="宋体"/>
                <w:lang w:val="en-US" w:eastAsia="zh-CN"/>
              </w:rPr>
              <w:t>组合滑梯、幼儿爬山坡、铁制荡桥、轮胎架、交通标志桶、神奇拼插等</w:t>
            </w:r>
            <w:r>
              <w:rPr>
                <w:rFonts w:hint="eastAsia" w:ascii="宋体" w:hAnsi="宋体" w:eastAsia="宋体" w:cs="宋体"/>
                <w:szCs w:val="21"/>
              </w:rPr>
              <w:t xml:space="preserve">；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查2: 20</w:t>
            </w:r>
            <w:r>
              <w:rPr>
                <w:rFonts w:hint="eastAsia" w:ascii="宋体" w:hAnsi="宋体" w:cs="宋体"/>
                <w:szCs w:val="21"/>
                <w:lang w:val="en-US" w:eastAsia="zh-CN"/>
              </w:rPr>
              <w:t>20</w:t>
            </w:r>
            <w:r>
              <w:rPr>
                <w:rFonts w:hint="eastAsia" w:ascii="宋体" w:hAnsi="宋体" w:eastAsia="宋体" w:cs="宋体"/>
                <w:szCs w:val="21"/>
              </w:rPr>
              <w:t>年</w:t>
            </w:r>
            <w:r>
              <w:rPr>
                <w:rFonts w:hint="eastAsia" w:ascii="宋体" w:hAnsi="宋体" w:cs="宋体"/>
                <w:szCs w:val="21"/>
                <w:lang w:val="en-US" w:eastAsia="zh-CN"/>
              </w:rPr>
              <w:t>8</w:t>
            </w:r>
            <w:r>
              <w:rPr>
                <w:rFonts w:hint="eastAsia" w:ascii="宋体" w:hAnsi="宋体" w:eastAsia="宋体" w:cs="宋体"/>
                <w:szCs w:val="21"/>
              </w:rPr>
              <w:t>月15日签订的合同，主要产品：音体美器材、教学仪器，办公用品、床</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顾客：唐县教育局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提供主要产品：课桌椅床145套，849165元，办公用品：打印纸5箱1000元等；</w:t>
            </w:r>
          </w:p>
          <w:p>
            <w:pPr>
              <w:spacing w:line="360" w:lineRule="auto"/>
              <w:ind w:firstLine="1470" w:firstLineChars="700"/>
              <w:rPr>
                <w:rFonts w:hint="eastAsia" w:ascii="宋体" w:hAnsi="宋体" w:eastAsia="宋体" w:cs="宋体"/>
                <w:szCs w:val="21"/>
              </w:rPr>
            </w:pPr>
            <w:r>
              <w:rPr>
                <w:rFonts w:hint="eastAsia" w:ascii="宋体" w:hAnsi="宋体" w:eastAsia="宋体" w:cs="宋体"/>
                <w:szCs w:val="21"/>
              </w:rPr>
              <w:t>音乐器材：钢琴3台18000元，大提琴9把4000元等；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美术器材：画架29付986元；石膏像7个294元；</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体育器材：足球架2个1500元，跳箱10套4000元等；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教学仪器：教学黑板2块  3100元，几何体3个210元等                 </w:t>
            </w:r>
            <w:r>
              <w:rPr>
                <w:rFonts w:hint="eastAsia" w:ascii="宋体" w:hAnsi="宋体" w:eastAsia="宋体" w:cs="宋体"/>
                <w:szCs w:val="21"/>
              </w:rPr>
              <w:tab/>
            </w:r>
            <w:r>
              <w:rPr>
                <w:rFonts w:hint="eastAsia" w:ascii="宋体" w:hAnsi="宋体" w:eastAsia="宋体" w:cs="宋体"/>
                <w:szCs w:val="21"/>
              </w:rPr>
              <w:t xml:space="preserve"> </w:t>
            </w:r>
            <w:r>
              <w:rPr>
                <w:rFonts w:hint="eastAsia" w:ascii="宋体" w:hAnsi="宋体" w:eastAsia="宋体" w:cs="宋体"/>
                <w:szCs w:val="21"/>
              </w:rPr>
              <w:tab/>
            </w:r>
            <w:r>
              <w:rPr>
                <w:rFonts w:hint="eastAsia" w:ascii="宋体" w:hAnsi="宋体" w:eastAsia="宋体" w:cs="宋体"/>
                <w:szCs w:val="21"/>
              </w:rPr>
              <w:t xml:space="preserve">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合同明确了产品名称、规格、数量、单价、交货期、运输、包装、质量、验收等要求。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提供了合同评审记录，评审内容包括：供货能力、价格等，评审时间都在签订合同之前，有评审人员签字等，详见8.2记录。</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现场观察：销售人员王宝旭等在与顾客沟通销售价格等问题；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服务指售后服务、质量三包、顾客回访，只有顾客回访有记录，见9.1.2记录。</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公司销售服务过程为特殊过程。现场提供《特殊过程确认记录表》，20</w:t>
            </w:r>
            <w:r>
              <w:rPr>
                <w:rFonts w:hint="eastAsia" w:ascii="宋体" w:hAnsi="宋体" w:cs="宋体"/>
                <w:szCs w:val="21"/>
                <w:lang w:val="en-US" w:eastAsia="zh-CN"/>
              </w:rPr>
              <w:t>20</w:t>
            </w:r>
            <w:r>
              <w:rPr>
                <w:rFonts w:hint="eastAsia" w:ascii="宋体" w:hAnsi="宋体" w:eastAsia="宋体" w:cs="宋体"/>
                <w:szCs w:val="21"/>
              </w:rPr>
              <w:t>-</w:t>
            </w:r>
            <w:r>
              <w:rPr>
                <w:rFonts w:hint="eastAsia" w:ascii="宋体" w:hAnsi="宋体" w:cs="宋体"/>
                <w:szCs w:val="21"/>
                <w:lang w:val="en-US" w:eastAsia="zh-CN"/>
              </w:rPr>
              <w:t>1</w:t>
            </w:r>
            <w:r>
              <w:rPr>
                <w:rFonts w:hint="eastAsia" w:ascii="宋体" w:hAnsi="宋体" w:eastAsia="宋体" w:cs="宋体"/>
                <w:szCs w:val="21"/>
              </w:rPr>
              <w:t>-12确认，确认内容：服务依据方法、服务人员、设备、记录要求、再确认要求等6条，确认人：张荣才，结论：可满足销售服务过程需要，予以确认。销售人员：马占京、王宝旭等。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销售部人员均经岗前培训合格上岗位。无特殊工种人员。</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销售的音体美等物品有顾客自行验货，验货内容包括外观、数量、种类等。公司根据体育器材等验收单查询收货情况，顾客收到货物并无误后，结算付款。</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监视、测量资源包括：销售人员考核表、顾客满意度调查表等。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制定了销售管理制度，规定了业务人员的岗位职责和任职要求、销售服务规范等，每年对业务人员进行一次绩效评价，评价内容包括：销售业绩、沟通能力、客户反馈、专业技能等，并依据考核结果对销售人员进行优胜劣汰。</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提供产品检验检测报告：</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drawing>
                <wp:inline distT="0" distB="0" distL="114300" distR="114300">
                  <wp:extent cx="1802765" cy="2404110"/>
                  <wp:effectExtent l="0" t="0" r="635" b="8890"/>
                  <wp:docPr id="2" name="图片 2" descr="a1df4b761a280adab7d6da21f010a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1df4b761a280adab7d6da21f010a72"/>
                          <pic:cNvPicPr>
                            <a:picLocks noChangeAspect="1"/>
                          </pic:cNvPicPr>
                        </pic:nvPicPr>
                        <pic:blipFill>
                          <a:blip r:embed="rId6"/>
                          <a:stretch>
                            <a:fillRect/>
                          </a:stretch>
                        </pic:blipFill>
                        <pic:spPr>
                          <a:xfrm>
                            <a:off x="0" y="0"/>
                            <a:ext cx="1802765" cy="2404110"/>
                          </a:xfrm>
                          <a:prstGeom prst="rect">
                            <a:avLst/>
                          </a:prstGeom>
                        </pic:spPr>
                      </pic:pic>
                    </a:graphicData>
                  </a:graphic>
                </wp:inline>
              </w:drawing>
            </w:r>
            <w:r>
              <w:rPr>
                <w:rFonts w:hint="eastAsia" w:ascii="宋体" w:hAnsi="宋体" w:cs="宋体"/>
                <w:szCs w:val="21"/>
                <w:lang w:val="en-US" w:eastAsia="zh-CN"/>
              </w:rPr>
              <w:drawing>
                <wp:inline distT="0" distB="0" distL="114300" distR="114300">
                  <wp:extent cx="1789430" cy="2386330"/>
                  <wp:effectExtent l="0" t="0" r="1270" b="1270"/>
                  <wp:docPr id="3" name="图片 3" descr="6eca5705b74ef9f93fd79f8cb552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eca5705b74ef9f93fd79f8cb552988"/>
                          <pic:cNvPicPr>
                            <a:picLocks noChangeAspect="1"/>
                          </pic:cNvPicPr>
                        </pic:nvPicPr>
                        <pic:blipFill>
                          <a:blip r:embed="rId7"/>
                          <a:stretch>
                            <a:fillRect/>
                          </a:stretch>
                        </pic:blipFill>
                        <pic:spPr>
                          <a:xfrm>
                            <a:off x="0" y="0"/>
                            <a:ext cx="1789430" cy="2386330"/>
                          </a:xfrm>
                          <a:prstGeom prst="rect">
                            <a:avLst/>
                          </a:prstGeom>
                        </pic:spPr>
                      </pic:pic>
                    </a:graphicData>
                  </a:graphic>
                </wp:inline>
              </w:drawing>
            </w:r>
            <w:r>
              <w:rPr>
                <w:rFonts w:hint="eastAsia" w:ascii="宋体" w:hAnsi="宋体" w:cs="宋体"/>
                <w:szCs w:val="21"/>
                <w:lang w:val="en-US" w:eastAsia="zh-CN"/>
              </w:rPr>
              <w:drawing>
                <wp:inline distT="0" distB="0" distL="114300" distR="114300">
                  <wp:extent cx="1807845" cy="2411095"/>
                  <wp:effectExtent l="0" t="0" r="8255" b="1905"/>
                  <wp:docPr id="4" name="图片 4" descr="5d72361f1d9751ed23e2e16c07ede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d72361f1d9751ed23e2e16c07ede9e"/>
                          <pic:cNvPicPr>
                            <a:picLocks noChangeAspect="1"/>
                          </pic:cNvPicPr>
                        </pic:nvPicPr>
                        <pic:blipFill>
                          <a:blip r:embed="rId8"/>
                          <a:stretch>
                            <a:fillRect/>
                          </a:stretch>
                        </pic:blipFill>
                        <pic:spPr>
                          <a:xfrm>
                            <a:off x="0" y="0"/>
                            <a:ext cx="1807845" cy="2411095"/>
                          </a:xfrm>
                          <a:prstGeom prst="rect">
                            <a:avLst/>
                          </a:prstGeom>
                        </pic:spPr>
                      </pic:pic>
                    </a:graphicData>
                  </a:graphic>
                </wp:inline>
              </w:drawing>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drawing>
                <wp:anchor distT="0" distB="0" distL="114300" distR="114300" simplePos="0" relativeHeight="251660288" behindDoc="0" locked="0" layoutInCell="1" allowOverlap="1">
                  <wp:simplePos x="0" y="0"/>
                  <wp:positionH relativeFrom="column">
                    <wp:posOffset>2254250</wp:posOffset>
                  </wp:positionH>
                  <wp:positionV relativeFrom="paragraph">
                    <wp:posOffset>76200</wp:posOffset>
                  </wp:positionV>
                  <wp:extent cx="1806575" cy="2408555"/>
                  <wp:effectExtent l="0" t="0" r="9525" b="4445"/>
                  <wp:wrapNone/>
                  <wp:docPr id="6" name="图片 6" descr="d8bd939a0202cc5816dfa79763420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8bd939a0202cc5816dfa79763420c3"/>
                          <pic:cNvPicPr>
                            <a:picLocks noChangeAspect="1"/>
                          </pic:cNvPicPr>
                        </pic:nvPicPr>
                        <pic:blipFill>
                          <a:blip r:embed="rId9"/>
                          <a:stretch>
                            <a:fillRect/>
                          </a:stretch>
                        </pic:blipFill>
                        <pic:spPr>
                          <a:xfrm>
                            <a:off x="0" y="0"/>
                            <a:ext cx="1806575" cy="2408555"/>
                          </a:xfrm>
                          <a:prstGeom prst="rect">
                            <a:avLst/>
                          </a:prstGeom>
                        </pic:spPr>
                      </pic:pic>
                    </a:graphicData>
                  </a:graphic>
                </wp:anchor>
              </w:drawing>
            </w:r>
            <w:r>
              <w:rPr>
                <w:rFonts w:hint="eastAsia" w:ascii="宋体" w:hAnsi="宋体" w:cs="宋体"/>
                <w:szCs w:val="21"/>
                <w:lang w:val="en-US" w:eastAsia="zh-CN"/>
              </w:rPr>
              <w:drawing>
                <wp:anchor distT="0" distB="0" distL="114300" distR="114300" simplePos="0" relativeHeight="251659264" behindDoc="0" locked="0" layoutInCell="1" allowOverlap="1">
                  <wp:simplePos x="0" y="0"/>
                  <wp:positionH relativeFrom="column">
                    <wp:posOffset>222250</wp:posOffset>
                  </wp:positionH>
                  <wp:positionV relativeFrom="paragraph">
                    <wp:posOffset>27940</wp:posOffset>
                  </wp:positionV>
                  <wp:extent cx="1851025" cy="2468245"/>
                  <wp:effectExtent l="0" t="0" r="3175" b="8255"/>
                  <wp:wrapNone/>
                  <wp:docPr id="5" name="图片 5" descr="28a2dcaf513ac15bf3f45f1586d3c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8a2dcaf513ac15bf3f45f1586d3c5b"/>
                          <pic:cNvPicPr>
                            <a:picLocks noChangeAspect="1"/>
                          </pic:cNvPicPr>
                        </pic:nvPicPr>
                        <pic:blipFill>
                          <a:blip r:embed="rId10"/>
                          <a:stretch>
                            <a:fillRect/>
                          </a:stretch>
                        </pic:blipFill>
                        <pic:spPr>
                          <a:xfrm>
                            <a:off x="0" y="0"/>
                            <a:ext cx="1851025" cy="2468245"/>
                          </a:xfrm>
                          <a:prstGeom prst="rect">
                            <a:avLst/>
                          </a:prstGeom>
                        </pic:spPr>
                      </pic:pic>
                    </a:graphicData>
                  </a:graphic>
                </wp:anchor>
              </w:drawing>
            </w:r>
          </w:p>
          <w:p>
            <w:pPr>
              <w:spacing w:line="360" w:lineRule="auto"/>
              <w:ind w:firstLine="420" w:firstLineChars="200"/>
              <w:rPr>
                <w:rFonts w:hint="eastAsia" w:ascii="宋体" w:hAnsi="宋体" w:cs="宋体"/>
                <w:szCs w:val="21"/>
                <w:lang w:val="en-US" w:eastAsia="zh-CN"/>
              </w:rPr>
            </w:pPr>
          </w:p>
          <w:p>
            <w:pPr>
              <w:spacing w:line="360" w:lineRule="auto"/>
              <w:ind w:firstLine="420" w:firstLineChars="200"/>
              <w:rPr>
                <w:rFonts w:hint="eastAsia" w:ascii="宋体" w:hAnsi="宋体" w:cs="宋体"/>
                <w:szCs w:val="21"/>
                <w:lang w:val="en-US" w:eastAsia="zh-CN"/>
              </w:rPr>
            </w:pPr>
          </w:p>
          <w:p>
            <w:pPr>
              <w:spacing w:line="360" w:lineRule="auto"/>
              <w:ind w:firstLine="420" w:firstLineChars="200"/>
              <w:rPr>
                <w:rFonts w:hint="eastAsia" w:ascii="宋体" w:hAnsi="宋体" w:cs="宋体"/>
                <w:szCs w:val="21"/>
                <w:lang w:val="en-US" w:eastAsia="zh-CN"/>
              </w:rPr>
            </w:pPr>
          </w:p>
          <w:p>
            <w:pPr>
              <w:spacing w:line="360" w:lineRule="auto"/>
              <w:ind w:firstLine="420" w:firstLineChars="200"/>
              <w:rPr>
                <w:rFonts w:hint="eastAsia" w:ascii="宋体" w:hAnsi="宋体" w:cs="宋体"/>
                <w:szCs w:val="21"/>
                <w:lang w:val="en-US" w:eastAsia="zh-CN"/>
              </w:rPr>
            </w:pPr>
          </w:p>
          <w:p>
            <w:pPr>
              <w:spacing w:line="360" w:lineRule="auto"/>
              <w:ind w:firstLine="420" w:firstLineChars="200"/>
              <w:rPr>
                <w:rFonts w:hint="eastAsia" w:ascii="宋体" w:hAnsi="宋体" w:cs="宋体"/>
                <w:szCs w:val="21"/>
                <w:lang w:val="en-US" w:eastAsia="zh-CN"/>
              </w:rPr>
            </w:pPr>
          </w:p>
          <w:p>
            <w:pPr>
              <w:spacing w:line="360" w:lineRule="auto"/>
              <w:ind w:firstLine="420" w:firstLineChars="200"/>
              <w:rPr>
                <w:rFonts w:hint="eastAsia" w:ascii="宋体" w:hAnsi="宋体" w:cs="宋体"/>
                <w:szCs w:val="21"/>
                <w:lang w:val="en-US" w:eastAsia="zh-CN"/>
              </w:rPr>
            </w:pPr>
          </w:p>
          <w:p>
            <w:pPr>
              <w:spacing w:line="360" w:lineRule="auto"/>
              <w:ind w:firstLine="420" w:firstLineChars="200"/>
              <w:rPr>
                <w:rFonts w:hint="eastAsia" w:ascii="宋体" w:hAnsi="宋体" w:cs="宋体"/>
                <w:szCs w:val="21"/>
                <w:lang w:val="en-US" w:eastAsia="zh-CN"/>
              </w:rPr>
            </w:pPr>
          </w:p>
          <w:p>
            <w:pPr>
              <w:spacing w:line="360" w:lineRule="auto"/>
              <w:ind w:firstLine="420" w:firstLineChars="200"/>
              <w:rPr>
                <w:rFonts w:hint="eastAsia" w:ascii="宋体" w:hAnsi="宋体" w:cs="宋体"/>
                <w:szCs w:val="21"/>
                <w:lang w:val="en-US" w:eastAsia="zh-CN"/>
              </w:rPr>
            </w:pPr>
          </w:p>
          <w:p>
            <w:pPr>
              <w:spacing w:line="360" w:lineRule="auto"/>
              <w:rPr>
                <w:rFonts w:hint="eastAsia" w:ascii="宋体" w:hAnsi="宋体" w:eastAsia="宋体" w:cs="宋体"/>
                <w:szCs w:val="21"/>
              </w:rPr>
            </w:pPr>
            <w:r>
              <w:rPr>
                <w:rFonts w:hint="eastAsia" w:ascii="宋体" w:hAnsi="宋体" w:eastAsia="宋体" w:cs="宋体"/>
                <w:szCs w:val="21"/>
              </w:rPr>
              <w:t>查《销售人员考核表》，见对王宝旭、马银珠等人的考核表，考核内容：业务能力、沟通能力、专业知识、管理能力等，考核结果为合格。考核人：马占京，日期：20</w:t>
            </w:r>
            <w:r>
              <w:rPr>
                <w:rFonts w:hint="eastAsia" w:ascii="宋体" w:hAnsi="宋体" w:cs="宋体"/>
                <w:szCs w:val="21"/>
                <w:lang w:val="en-US" w:eastAsia="zh-CN"/>
              </w:rPr>
              <w:t>20</w:t>
            </w:r>
            <w:r>
              <w:rPr>
                <w:rFonts w:hint="eastAsia" w:ascii="宋体" w:hAnsi="宋体" w:eastAsia="宋体" w:cs="宋体"/>
                <w:szCs w:val="21"/>
              </w:rPr>
              <w:t>.10</w:t>
            </w:r>
            <w:r>
              <w:rPr>
                <w:rFonts w:hint="eastAsia" w:ascii="宋体" w:hAnsi="宋体" w:cs="宋体"/>
                <w:szCs w:val="21"/>
                <w:lang w:val="en-US" w:eastAsia="zh-CN"/>
              </w:rPr>
              <w:t>月-2021.5月</w:t>
            </w:r>
            <w:r>
              <w:rPr>
                <w:rFonts w:hint="eastAsia" w:ascii="宋体" w:hAnsi="宋体" w:eastAsia="宋体" w:cs="宋体"/>
                <w:szCs w:val="21"/>
              </w:rPr>
              <w:t>.</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通过顾客回访或开展顾客满意度调查，了解客户对公司产品和服务的需求及满意程度，并依据调查的结果制定纠正、预防措施，或制定改进计划。目前客户对公司的产品和服务都比较满意。</w:t>
            </w:r>
          </w:p>
          <w:p>
            <w:pPr>
              <w:spacing w:line="360" w:lineRule="auto"/>
              <w:rPr>
                <w:rFonts w:hint="eastAsia" w:ascii="宋体" w:hAnsi="宋体" w:eastAsia="宋体" w:cs="宋体"/>
                <w:szCs w:val="21"/>
              </w:rPr>
            </w:pPr>
            <w:r>
              <w:rPr>
                <w:rFonts w:hint="eastAsia" w:ascii="宋体" w:hAnsi="宋体" w:eastAsia="宋体" w:cs="宋体"/>
                <w:szCs w:val="21"/>
              </w:rPr>
              <w:t>工作环境温度适宜、卫生整洁、通风良好，工作氛围轻松、关系融洽、配合积极。</w:t>
            </w:r>
          </w:p>
          <w:p>
            <w:pPr>
              <w:spacing w:line="360" w:lineRule="auto"/>
              <w:rPr>
                <w:rFonts w:hint="eastAsia" w:ascii="宋体" w:hAnsi="宋体" w:eastAsia="宋体" w:cs="宋体"/>
                <w:szCs w:val="21"/>
              </w:rPr>
            </w:pPr>
            <w:r>
              <w:rPr>
                <w:rFonts w:hint="eastAsia" w:ascii="宋体" w:hAnsi="宋体" w:eastAsia="宋体" w:cs="宋体"/>
                <w:szCs w:val="21"/>
              </w:rPr>
              <w:t xml:space="preserve">提供室内外健身器材检验报告，见附件。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销售部人员均经岗前培训合格上岗位。无特殊工种人员。</w:t>
            </w:r>
          </w:p>
          <w:p>
            <w:pPr>
              <w:spacing w:line="360" w:lineRule="auto"/>
              <w:rPr>
                <w:rFonts w:hint="eastAsia" w:ascii="宋体" w:hAnsi="宋体" w:eastAsia="宋体" w:cs="宋体"/>
                <w:szCs w:val="21"/>
              </w:rPr>
            </w:pP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公司销售的产品无特殊定制产品，因此顾客对产品和销售服务的要求目前未发生过变更。公司策划了如遇合同更改情况发生的控制流程。</w:t>
            </w:r>
          </w:p>
          <w:p>
            <w:pPr>
              <w:spacing w:line="360" w:lineRule="auto"/>
              <w:rPr>
                <w:rFonts w:hint="eastAsia" w:ascii="宋体" w:hAnsi="宋体" w:eastAsia="宋体" w:cs="宋体"/>
                <w:szCs w:val="21"/>
              </w:rPr>
            </w:pP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销售体育器材等标识按顾客要求使用货物标识，并以业务跟踪单检查时间作为追溯的依据，可通过销售日期、销售记录加以追溯，员工有工号、工牌，服务标识，以确保其唯一性和可追溯性，当服务出现不合格时实施追溯。</w:t>
            </w:r>
          </w:p>
          <w:p>
            <w:pPr>
              <w:spacing w:line="360" w:lineRule="auto"/>
              <w:rPr>
                <w:rFonts w:hint="eastAsia" w:ascii="宋体" w:hAnsi="宋体" w:eastAsia="宋体" w:cs="宋体"/>
                <w:szCs w:val="21"/>
              </w:rPr>
            </w:pP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顾客或外部供方的财产包括：资质证明文件（如营业执照和其它资质文件）、银行账号、联系方式、经营地址等信息及外包供方提供的音体美器材、教学仪器、课桌椅床、办公用品、书架、幼儿玩具（对儿童有危害的除外）的物品等，由部门专门人员负责管理。未发生丢失损坏泄密等现象。</w:t>
            </w:r>
          </w:p>
          <w:p>
            <w:pPr>
              <w:spacing w:line="360" w:lineRule="auto"/>
              <w:rPr>
                <w:rFonts w:hint="eastAsia" w:ascii="宋体" w:hAnsi="宋体" w:eastAsia="宋体" w:cs="宋体"/>
                <w:szCs w:val="21"/>
              </w:rPr>
            </w:pP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产品在发货时已做好包装防护工作，由供方做好包装工作，按要求防止野蛮装卸等。对产品实行定置管理，区域存放、标识清楚等。产品由物流运输，供方确保其运送过程的产品质量，并使运输货物人员经过产品特点以及适宜的防护条件的培训。未提供记录，口头交流。</w:t>
            </w:r>
          </w:p>
          <w:p>
            <w:pPr>
              <w:spacing w:line="360" w:lineRule="auto"/>
              <w:rPr>
                <w:rFonts w:hint="eastAsia" w:ascii="宋体" w:hAnsi="宋体" w:eastAsia="宋体" w:cs="宋体"/>
                <w:szCs w:val="21"/>
              </w:rPr>
            </w:pPr>
          </w:p>
          <w:p>
            <w:pPr>
              <w:spacing w:line="360" w:lineRule="auto"/>
              <w:ind w:firstLine="420" w:firstLineChars="200"/>
              <w:rPr>
                <w:rFonts w:hint="eastAsia" w:ascii="宋体" w:hAnsi="宋体" w:eastAsia="宋体" w:cs="宋体"/>
              </w:rPr>
            </w:pPr>
            <w:r>
              <w:rPr>
                <w:rFonts w:hint="eastAsia" w:ascii="宋体" w:hAnsi="宋体" w:eastAsia="宋体" w:cs="宋体"/>
                <w:szCs w:val="21"/>
              </w:rPr>
              <w:t>经与部门负责人微信、电话交流，该公司交付后活动主要是对服务进行顾客回访和售后服务。目前顾客回访未发生不符合。对每批货物交付时销售人员都与顾客联系进行验收确认，有些未保存确认记录，口头交流。</w:t>
            </w:r>
          </w:p>
        </w:tc>
        <w:tc>
          <w:tcPr>
            <w:tcW w:w="1585"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2160" w:type="dxa"/>
            <w:tcBorders>
              <w:tl2br w:val="nil"/>
              <w:tr2bl w:val="nil"/>
            </w:tcBorders>
            <w:vAlign w:val="center"/>
          </w:tcPr>
          <w:p>
            <w:pPr>
              <w:spacing w:line="360" w:lineRule="auto"/>
              <w:jc w:val="left"/>
              <w:rPr>
                <w:rFonts w:hint="eastAsia" w:ascii="宋体" w:hAnsi="宋体" w:eastAsia="宋体" w:cs="宋体"/>
              </w:rPr>
            </w:pPr>
            <w:r>
              <w:rPr>
                <w:rFonts w:hint="eastAsia" w:ascii="宋体" w:hAnsi="宋体" w:eastAsia="宋体" w:cs="宋体"/>
                <w:szCs w:val="21"/>
              </w:rPr>
              <w:t>不合格品控制</w:t>
            </w:r>
          </w:p>
        </w:tc>
        <w:tc>
          <w:tcPr>
            <w:tcW w:w="960" w:type="dxa"/>
            <w:tcBorders>
              <w:tl2br w:val="nil"/>
              <w:tr2bl w:val="nil"/>
            </w:tcBorders>
            <w:vAlign w:val="center"/>
          </w:tcPr>
          <w:p>
            <w:pPr>
              <w:spacing w:line="360" w:lineRule="auto"/>
              <w:jc w:val="left"/>
              <w:rPr>
                <w:rFonts w:hint="eastAsia" w:ascii="宋体" w:hAnsi="宋体" w:eastAsia="宋体" w:cs="宋体"/>
              </w:rPr>
            </w:pPr>
            <w:r>
              <w:rPr>
                <w:rFonts w:hint="eastAsia" w:ascii="宋体" w:hAnsi="宋体" w:eastAsia="宋体" w:cs="宋体"/>
                <w:szCs w:val="21"/>
              </w:rPr>
              <w:t>Q8.7</w:t>
            </w:r>
          </w:p>
        </w:tc>
        <w:tc>
          <w:tcPr>
            <w:tcW w:w="10004" w:type="dxa"/>
            <w:tcBorders>
              <w:tl2br w:val="nil"/>
              <w:tr2bl w:val="nil"/>
            </w:tcBorders>
          </w:tcPr>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制定《不合格品控制程序》，规定了不合格品的管理，不合格品分严重不合格品和一般不合格品，发现问题，现场更换，购进音体美器材、教学仪器、课桌椅床、办公用品、书架、幼儿玩具（对儿童有危害的除外）的产品等发现不合格后，销售部进行评审并做出处置，处置包括退货、换货和让步接收。</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提供《不合格品评审表》，无不合格品发生。</w:t>
            </w:r>
          </w:p>
          <w:p>
            <w:pPr>
              <w:spacing w:line="360" w:lineRule="auto"/>
              <w:ind w:firstLine="420" w:firstLineChars="200"/>
              <w:jc w:val="left"/>
              <w:rPr>
                <w:rFonts w:hint="eastAsia" w:ascii="宋体" w:hAnsi="宋体" w:eastAsia="宋体" w:cs="宋体"/>
                <w:b/>
              </w:rPr>
            </w:pPr>
            <w:r>
              <w:rPr>
                <w:rFonts w:hint="eastAsia" w:ascii="宋体" w:hAnsi="宋体" w:eastAsia="宋体" w:cs="宋体"/>
                <w:szCs w:val="21"/>
              </w:rPr>
              <w:t>自上次外审之后，无退换货发生。</w:t>
            </w:r>
          </w:p>
        </w:tc>
        <w:tc>
          <w:tcPr>
            <w:tcW w:w="1585"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160" w:type="dxa"/>
            <w:tcBorders>
              <w:tl2br w:val="nil"/>
              <w:tr2bl w:val="nil"/>
            </w:tcBorders>
            <w:vAlign w:val="center"/>
          </w:tcPr>
          <w:p>
            <w:pPr>
              <w:spacing w:line="360" w:lineRule="auto"/>
              <w:rPr>
                <w:rFonts w:hint="eastAsia" w:ascii="宋体" w:hAnsi="宋体" w:eastAsia="宋体" w:cs="宋体"/>
              </w:rPr>
            </w:pPr>
            <w:r>
              <w:rPr>
                <w:rFonts w:hint="eastAsia" w:ascii="宋体" w:hAnsi="宋体" w:eastAsia="宋体" w:cs="宋体"/>
                <w:szCs w:val="21"/>
              </w:rPr>
              <w:t>顾客满意</w:t>
            </w:r>
          </w:p>
        </w:tc>
        <w:tc>
          <w:tcPr>
            <w:tcW w:w="960" w:type="dxa"/>
            <w:tcBorders>
              <w:tl2br w:val="nil"/>
              <w:tr2bl w:val="nil"/>
            </w:tcBorders>
            <w:vAlign w:val="center"/>
          </w:tcPr>
          <w:p>
            <w:pPr>
              <w:spacing w:line="360" w:lineRule="auto"/>
              <w:rPr>
                <w:rFonts w:hint="eastAsia" w:ascii="宋体" w:hAnsi="宋体" w:eastAsia="宋体" w:cs="宋体"/>
                <w:szCs w:val="21"/>
              </w:rPr>
            </w:pPr>
            <w:r>
              <w:rPr>
                <w:rFonts w:hint="eastAsia" w:ascii="宋体" w:hAnsi="宋体" w:eastAsia="宋体" w:cs="宋体"/>
                <w:szCs w:val="21"/>
              </w:rPr>
              <w:t>Q9.1.2</w:t>
            </w:r>
          </w:p>
          <w:p>
            <w:pPr>
              <w:spacing w:line="360" w:lineRule="auto"/>
              <w:rPr>
                <w:rFonts w:hint="eastAsia" w:ascii="宋体" w:hAnsi="宋体" w:eastAsia="宋体" w:cs="宋体"/>
              </w:rPr>
            </w:pPr>
          </w:p>
        </w:tc>
        <w:tc>
          <w:tcPr>
            <w:tcW w:w="10004" w:type="dxa"/>
            <w:tcBorders>
              <w:tl2br w:val="nil"/>
              <w:tr2bl w:val="nil"/>
            </w:tcBorders>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提供“顾客满意度调查表”，对公司客户：</w:t>
            </w:r>
            <w:r>
              <w:rPr>
                <w:rFonts w:hint="eastAsia" w:ascii="宋体" w:hAnsi="宋体" w:cs="宋体"/>
                <w:szCs w:val="21"/>
                <w:lang w:val="en-US" w:eastAsia="zh-CN"/>
              </w:rPr>
              <w:t>玉田县教育局</w:t>
            </w:r>
            <w:r>
              <w:rPr>
                <w:rFonts w:hint="eastAsia" w:ascii="宋体" w:hAnsi="宋体" w:eastAsia="宋体" w:cs="宋体"/>
                <w:szCs w:val="21"/>
              </w:rPr>
              <w:t>、唐县教育局等顾客，在20</w:t>
            </w:r>
            <w:r>
              <w:rPr>
                <w:rFonts w:hint="eastAsia" w:ascii="宋体" w:hAnsi="宋体" w:cs="宋体"/>
                <w:szCs w:val="21"/>
                <w:lang w:val="en-US" w:eastAsia="zh-CN"/>
              </w:rPr>
              <w:t>20</w:t>
            </w:r>
            <w:r>
              <w:rPr>
                <w:rFonts w:hint="eastAsia" w:ascii="宋体" w:hAnsi="宋体" w:eastAsia="宋体" w:cs="宋体"/>
                <w:szCs w:val="21"/>
              </w:rPr>
              <w:t>.</w:t>
            </w:r>
            <w:r>
              <w:rPr>
                <w:rFonts w:hint="eastAsia" w:ascii="宋体" w:hAnsi="宋体" w:cs="宋体"/>
                <w:szCs w:val="21"/>
                <w:lang w:val="en-US" w:eastAsia="zh-CN"/>
              </w:rPr>
              <w:t>3</w:t>
            </w:r>
            <w:r>
              <w:rPr>
                <w:rFonts w:hint="eastAsia" w:ascii="宋体" w:hAnsi="宋体" w:eastAsia="宋体" w:cs="宋体"/>
                <w:szCs w:val="21"/>
              </w:rPr>
              <w:t>-202</w:t>
            </w:r>
            <w:r>
              <w:rPr>
                <w:rFonts w:hint="eastAsia" w:ascii="宋体" w:hAnsi="宋体" w:cs="宋体"/>
                <w:szCs w:val="21"/>
                <w:lang w:val="en-US" w:eastAsia="zh-CN"/>
              </w:rPr>
              <w:t>0</w:t>
            </w:r>
            <w:r>
              <w:rPr>
                <w:rFonts w:hint="eastAsia" w:ascii="宋体" w:hAnsi="宋体" w:eastAsia="宋体" w:cs="宋体"/>
                <w:szCs w:val="21"/>
              </w:rPr>
              <w:t>年</w:t>
            </w:r>
            <w:r>
              <w:rPr>
                <w:rFonts w:hint="eastAsia" w:ascii="宋体" w:hAnsi="宋体" w:cs="宋体"/>
                <w:szCs w:val="21"/>
                <w:lang w:val="en-US" w:eastAsia="zh-CN"/>
              </w:rPr>
              <w:t>12</w:t>
            </w:r>
            <w:r>
              <w:rPr>
                <w:rFonts w:hint="eastAsia" w:ascii="宋体" w:hAnsi="宋体" w:eastAsia="宋体" w:cs="宋体"/>
                <w:szCs w:val="21"/>
              </w:rPr>
              <w:t>月进行了满意度调查，调查内容：产品质量、服务水平、售后服务、价格等，调查结果平均满意率9</w:t>
            </w:r>
            <w:r>
              <w:rPr>
                <w:rFonts w:hint="eastAsia" w:ascii="宋体" w:hAnsi="宋体" w:cs="宋体"/>
                <w:szCs w:val="21"/>
                <w:lang w:val="en-US" w:eastAsia="zh-CN"/>
              </w:rPr>
              <w:t>6</w:t>
            </w:r>
            <w:r>
              <w:rPr>
                <w:rFonts w:hint="eastAsia" w:ascii="宋体" w:hAnsi="宋体" w:eastAsia="宋体" w:cs="宋体"/>
                <w:szCs w:val="21"/>
              </w:rPr>
              <w:t>%。不满意主要为售价偏高，公司将通过提高管理水平降低售价，提高顾客满意度，实施中。</w:t>
            </w:r>
          </w:p>
          <w:p>
            <w:pPr>
              <w:spacing w:line="360" w:lineRule="auto"/>
              <w:ind w:firstLine="420" w:firstLineChars="200"/>
              <w:rPr>
                <w:rFonts w:hint="eastAsia" w:ascii="宋体" w:hAnsi="宋体" w:eastAsia="宋体" w:cs="宋体"/>
              </w:rPr>
            </w:pPr>
            <w:r>
              <w:rPr>
                <w:rFonts w:hint="eastAsia" w:ascii="宋体" w:hAnsi="宋体" w:eastAsia="宋体" w:cs="宋体"/>
                <w:szCs w:val="21"/>
              </w:rPr>
              <w:t>分析利用：有一顾客对价格提出再优惠些，向顾客说明由于供方价格上涨等原因，尽量降低价格达到顾客满意。</w:t>
            </w:r>
          </w:p>
        </w:tc>
        <w:tc>
          <w:tcPr>
            <w:tcW w:w="1585"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5" w:type="dxa"/>
          <w:trHeight w:val="1255" w:hRule="atLeast"/>
        </w:trPr>
        <w:tc>
          <w:tcPr>
            <w:tcW w:w="2160" w:type="dxa"/>
            <w:tcBorders>
              <w:tl2br w:val="nil"/>
              <w:tr2bl w:val="nil"/>
            </w:tcBorders>
            <w:vAlign w:val="center"/>
          </w:tcPr>
          <w:p>
            <w:pPr>
              <w:spacing w:line="360" w:lineRule="auto"/>
              <w:rPr>
                <w:rFonts w:hint="eastAsia" w:ascii="宋体" w:hAnsi="宋体" w:eastAsia="宋体" w:cs="宋体"/>
                <w:szCs w:val="21"/>
              </w:rPr>
            </w:pPr>
            <w:r>
              <w:rPr>
                <w:rFonts w:hint="eastAsia" w:ascii="宋体" w:hAnsi="宋体" w:eastAsia="宋体" w:cs="宋体"/>
                <w:szCs w:val="21"/>
              </w:rPr>
              <w:t>应急准备和响应</w:t>
            </w:r>
          </w:p>
        </w:tc>
        <w:tc>
          <w:tcPr>
            <w:tcW w:w="960" w:type="dxa"/>
            <w:tcBorders>
              <w:tl2br w:val="nil"/>
              <w:tr2bl w:val="nil"/>
            </w:tcBorders>
            <w:vAlign w:val="center"/>
          </w:tcPr>
          <w:p>
            <w:pPr>
              <w:spacing w:line="360" w:lineRule="auto"/>
              <w:rPr>
                <w:rFonts w:hint="eastAsia" w:ascii="宋体" w:hAnsi="宋体" w:eastAsia="宋体" w:cs="宋体"/>
                <w:szCs w:val="21"/>
              </w:rPr>
            </w:pPr>
            <w:r>
              <w:rPr>
                <w:rFonts w:hint="eastAsia" w:ascii="宋体" w:hAnsi="宋体" w:eastAsia="宋体" w:cs="宋体"/>
                <w:szCs w:val="21"/>
              </w:rPr>
              <w:t>E</w:t>
            </w:r>
            <w:r>
              <w:rPr>
                <w:rFonts w:hint="eastAsia" w:ascii="宋体" w:hAnsi="宋体" w:eastAsia="宋体" w:cs="宋体"/>
                <w:szCs w:val="21"/>
                <w:lang w:val="en-US" w:eastAsia="zh-CN"/>
              </w:rPr>
              <w:t>O:</w:t>
            </w:r>
            <w:r>
              <w:rPr>
                <w:rFonts w:hint="eastAsia" w:ascii="宋体" w:hAnsi="宋体" w:eastAsia="宋体" w:cs="宋体"/>
                <w:szCs w:val="21"/>
              </w:rPr>
              <w:t>8.2</w:t>
            </w:r>
          </w:p>
          <w:p>
            <w:pPr>
              <w:spacing w:line="360" w:lineRule="auto"/>
              <w:rPr>
                <w:rFonts w:hint="eastAsia" w:ascii="宋体" w:hAnsi="宋体" w:eastAsia="宋体" w:cs="宋体"/>
                <w:szCs w:val="21"/>
              </w:rPr>
            </w:pPr>
          </w:p>
        </w:tc>
        <w:tc>
          <w:tcPr>
            <w:tcW w:w="10004" w:type="dxa"/>
            <w:tcBorders>
              <w:tl2br w:val="nil"/>
              <w:tr2bl w:val="nil"/>
            </w:tcBorders>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公司制定</w:t>
            </w:r>
            <w:r>
              <w:rPr>
                <w:rFonts w:hint="eastAsia" w:ascii="宋体" w:hAnsi="宋体" w:eastAsia="宋体" w:cs="宋体"/>
                <w:szCs w:val="21"/>
                <w:lang w:eastAsia="zh-CN"/>
              </w:rPr>
              <w:t>《</w:t>
            </w:r>
            <w:r>
              <w:rPr>
                <w:rFonts w:hint="eastAsia" w:ascii="宋体" w:hAnsi="宋体" w:eastAsia="宋体" w:cs="宋体"/>
                <w:szCs w:val="21"/>
              </w:rPr>
              <w:t>应急准备与响应控制程序</w:t>
            </w:r>
            <w:r>
              <w:rPr>
                <w:rFonts w:hint="eastAsia" w:ascii="宋体" w:hAnsi="宋体" w:eastAsia="宋体" w:cs="宋体"/>
                <w:szCs w:val="21"/>
                <w:lang w:eastAsia="zh-CN"/>
              </w:rPr>
              <w:t>》</w:t>
            </w:r>
            <w:r>
              <w:rPr>
                <w:rFonts w:hint="eastAsia" w:ascii="宋体" w:hAnsi="宋体" w:eastAsia="宋体" w:cs="宋体"/>
                <w:szCs w:val="21"/>
              </w:rPr>
              <w:t>，预防或减少潜在安全事故或紧急情况造成的影响，对可能发生的各种重要环境危险源的紧急情况做出积极准备和响应，以减少事故造成的影响。</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提供了《火灾应急预案》等，包括发生火灾等紧急情况的处置和应急抢救方案等内容。销售部参与了由综合部组织的应急演练，详见综合部记录。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5" w:type="dxa"/>
          <w:trHeight w:val="534" w:hRule="atLeast"/>
        </w:trPr>
        <w:tc>
          <w:tcPr>
            <w:tcW w:w="2160" w:type="dxa"/>
            <w:tcBorders>
              <w:tl2br w:val="nil"/>
              <w:tr2bl w:val="nil"/>
            </w:tcBorders>
            <w:vAlign w:val="center"/>
          </w:tcPr>
          <w:p>
            <w:pPr>
              <w:spacing w:line="360" w:lineRule="auto"/>
              <w:rPr>
                <w:rFonts w:hint="eastAsia" w:ascii="宋体" w:hAnsi="宋体" w:eastAsia="宋体" w:cs="宋体"/>
                <w:szCs w:val="21"/>
              </w:rPr>
            </w:pPr>
            <w:r>
              <w:rPr>
                <w:rFonts w:hint="eastAsia" w:ascii="宋体" w:hAnsi="宋体" w:eastAsia="宋体" w:cs="宋体"/>
                <w:szCs w:val="21"/>
              </w:rPr>
              <w:t>不符合及纠正措施</w:t>
            </w:r>
          </w:p>
        </w:tc>
        <w:tc>
          <w:tcPr>
            <w:tcW w:w="960" w:type="dxa"/>
            <w:tcBorders>
              <w:tl2br w:val="nil"/>
              <w:tr2bl w:val="nil"/>
            </w:tcBorders>
            <w:vAlign w:val="center"/>
          </w:tcPr>
          <w:p>
            <w:pPr>
              <w:spacing w:line="360" w:lineRule="auto"/>
              <w:rPr>
                <w:rFonts w:hint="eastAsia" w:ascii="宋体" w:hAnsi="宋体" w:eastAsia="宋体" w:cs="宋体"/>
                <w:szCs w:val="21"/>
                <w:lang w:val="en-US" w:eastAsia="zh-CN"/>
              </w:rPr>
            </w:pPr>
            <w:r>
              <w:rPr>
                <w:rFonts w:hint="eastAsia" w:ascii="宋体" w:hAnsi="宋体" w:eastAsia="宋体" w:cs="宋体"/>
                <w:szCs w:val="21"/>
              </w:rPr>
              <w:t>QE</w:t>
            </w:r>
            <w:r>
              <w:rPr>
                <w:rFonts w:hint="eastAsia" w:ascii="宋体" w:hAnsi="宋体" w:eastAsia="宋体" w:cs="宋体"/>
                <w:szCs w:val="21"/>
                <w:lang w:val="en-US" w:eastAsia="zh-CN"/>
              </w:rPr>
              <w:t>O:</w:t>
            </w:r>
          </w:p>
          <w:p>
            <w:pPr>
              <w:spacing w:line="360" w:lineRule="auto"/>
              <w:rPr>
                <w:rFonts w:hint="eastAsia" w:ascii="宋体" w:hAnsi="宋体" w:eastAsia="宋体" w:cs="宋体"/>
                <w:szCs w:val="21"/>
              </w:rPr>
            </w:pPr>
            <w:r>
              <w:rPr>
                <w:rFonts w:hint="eastAsia" w:ascii="宋体" w:hAnsi="宋体" w:eastAsia="宋体" w:cs="宋体"/>
                <w:szCs w:val="21"/>
              </w:rPr>
              <w:t>10.2</w:t>
            </w:r>
          </w:p>
          <w:p>
            <w:pPr>
              <w:spacing w:line="360" w:lineRule="auto"/>
              <w:rPr>
                <w:rFonts w:hint="eastAsia" w:ascii="宋体" w:hAnsi="宋体" w:eastAsia="宋体" w:cs="宋体"/>
                <w:szCs w:val="21"/>
              </w:rPr>
            </w:pPr>
          </w:p>
        </w:tc>
        <w:tc>
          <w:tcPr>
            <w:tcW w:w="10004" w:type="dxa"/>
            <w:tcBorders>
              <w:tl2br w:val="nil"/>
              <w:tr2bl w:val="nil"/>
            </w:tcBorders>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公司制定《纠正措施控制程序》，通过分析实际存在的或潜在的不符合的原因，制定纠正和预防措施，并验其效果，以防止不符合的发生／再发生，实现持续改进绩效的目的。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通过询问、现场观察和查阅记录等运行证据，对内审过程中发现的不符合制定了纠正措施并进行了整改，</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经审核组后期跟踪验证符合要求，经询问和查阅，体系运行至今无重大不符合情况发生，一般不符合均能立即有效处理。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购进音体美器材、教学仪器、课桌椅床、办公用品、书架、幼儿玩具（对儿童有危害的除外）等发现不合格后，销售部进行评审并做出处置，处置包括退货、换货和让步接收。</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提供《不合格品评审表》，无不合格品发生。自上年度外审以来，无销售服务不符合。</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内审中发现的不符合项已经采取纠正措施，外审不符合项整改完毕且有效。</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878DC"/>
    <w:rsid w:val="00056B50"/>
    <w:rsid w:val="00063D57"/>
    <w:rsid w:val="00077C8B"/>
    <w:rsid w:val="000A6191"/>
    <w:rsid w:val="000D186F"/>
    <w:rsid w:val="00104D41"/>
    <w:rsid w:val="0011099D"/>
    <w:rsid w:val="00210AF1"/>
    <w:rsid w:val="00235424"/>
    <w:rsid w:val="002A2A33"/>
    <w:rsid w:val="002C5142"/>
    <w:rsid w:val="00386D4D"/>
    <w:rsid w:val="00394258"/>
    <w:rsid w:val="003E74A2"/>
    <w:rsid w:val="00406415"/>
    <w:rsid w:val="0047624D"/>
    <w:rsid w:val="004A6DB0"/>
    <w:rsid w:val="004E3AA6"/>
    <w:rsid w:val="00502DB5"/>
    <w:rsid w:val="00504F13"/>
    <w:rsid w:val="00513E5A"/>
    <w:rsid w:val="005444B2"/>
    <w:rsid w:val="005E6C65"/>
    <w:rsid w:val="006E4BA1"/>
    <w:rsid w:val="007878DC"/>
    <w:rsid w:val="007D418F"/>
    <w:rsid w:val="0081379D"/>
    <w:rsid w:val="008E2BE7"/>
    <w:rsid w:val="009207FD"/>
    <w:rsid w:val="00971A84"/>
    <w:rsid w:val="009961D5"/>
    <w:rsid w:val="009E78D5"/>
    <w:rsid w:val="00A001A1"/>
    <w:rsid w:val="00B14970"/>
    <w:rsid w:val="00B4623E"/>
    <w:rsid w:val="00B67F23"/>
    <w:rsid w:val="00B73148"/>
    <w:rsid w:val="00B924E2"/>
    <w:rsid w:val="00BC5965"/>
    <w:rsid w:val="00C01C75"/>
    <w:rsid w:val="00C530C9"/>
    <w:rsid w:val="00CE1A18"/>
    <w:rsid w:val="00CE38ED"/>
    <w:rsid w:val="00D14A47"/>
    <w:rsid w:val="00D21DA8"/>
    <w:rsid w:val="00DD7264"/>
    <w:rsid w:val="00DE228A"/>
    <w:rsid w:val="00EA4DFF"/>
    <w:rsid w:val="00FA034C"/>
    <w:rsid w:val="00FF1AD7"/>
    <w:rsid w:val="032B32CF"/>
    <w:rsid w:val="12A131E0"/>
    <w:rsid w:val="34664718"/>
    <w:rsid w:val="570D7AF4"/>
    <w:rsid w:val="576F00B8"/>
    <w:rsid w:val="5C625D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6"/>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5"/>
    <w:qFormat/>
    <w:uiPriority w:val="0"/>
    <w:rPr>
      <w:rFonts w:ascii="宋体" w:hAnsi="Courier New"/>
      <w:sz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99"/>
    <w:pPr>
      <w:ind w:firstLine="420" w:firstLineChars="200"/>
    </w:pPr>
  </w:style>
  <w:style w:type="paragraph" w:customStyle="1" w:styleId="14">
    <w:name w:val="表格文字"/>
    <w:basedOn w:val="1"/>
    <w:qFormat/>
    <w:uiPriority w:val="0"/>
    <w:pPr>
      <w:spacing w:before="25" w:after="25"/>
    </w:pPr>
    <w:rPr>
      <w:bCs/>
      <w:spacing w:val="10"/>
      <w:sz w:val="24"/>
    </w:rPr>
  </w:style>
  <w:style w:type="character" w:customStyle="1" w:styleId="15">
    <w:name w:val="纯文本 字符"/>
    <w:basedOn w:val="8"/>
    <w:link w:val="3"/>
    <w:qFormat/>
    <w:uiPriority w:val="0"/>
    <w:rPr>
      <w:rFonts w:ascii="宋体" w:hAnsi="Courier New" w:eastAsia="宋体" w:cs="Times New Roman"/>
      <w:kern w:val="2"/>
      <w:sz w:val="24"/>
    </w:rPr>
  </w:style>
  <w:style w:type="character" w:customStyle="1" w:styleId="16">
    <w:name w:val="标题 2 字符"/>
    <w:basedOn w:val="8"/>
    <w:link w:val="2"/>
    <w:qFormat/>
    <w:uiPriority w:val="0"/>
    <w:rPr>
      <w:rFonts w:ascii="Times New Roman" w:hAnsi="Times New Roman" w:eastAsia="宋体" w:cs="Times New Roman"/>
      <w:b/>
      <w:bCs/>
      <w:kern w:val="2"/>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1134</Words>
  <Characters>6470</Characters>
  <Lines>53</Lines>
  <Paragraphs>15</Paragraphs>
  <TotalTime>6</TotalTime>
  <ScaleCrop>false</ScaleCrop>
  <LinksUpToDate>false</LinksUpToDate>
  <CharactersWithSpaces>7589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2021-06-07T08:08:27Z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06E8A3D61A414B7DBA031AF9FF643F5C</vt:lpwstr>
  </property>
</Properties>
</file>