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rFonts w:hint="eastAsia" w:ascii="宋体" w:hAnsi="宋体" w:eastAsia="宋体" w:cs="宋体"/>
                <w:sz w:val="21"/>
                <w:szCs w:val="21"/>
              </w:rPr>
            </w:pPr>
            <w:r>
              <w:rPr>
                <w:rFonts w:hint="eastAsia" w:ascii="宋体" w:hAnsi="宋体" w:eastAsia="宋体" w:cs="宋体"/>
                <w:sz w:val="21"/>
                <w:szCs w:val="21"/>
              </w:rPr>
              <w:t>过程与活动、</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960"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涉及</w:t>
            </w:r>
          </w:p>
          <w:p>
            <w:pPr>
              <w:spacing w:line="360" w:lineRule="auto"/>
              <w:rPr>
                <w:rFonts w:hint="eastAsia" w:ascii="宋体" w:hAnsi="宋体" w:eastAsia="宋体" w:cs="宋体"/>
                <w:sz w:val="21"/>
                <w:szCs w:val="21"/>
              </w:rPr>
            </w:pPr>
            <w:r>
              <w:rPr>
                <w:rFonts w:hint="eastAsia" w:ascii="宋体" w:hAnsi="宋体" w:eastAsia="宋体" w:cs="宋体"/>
                <w:sz w:val="21"/>
                <w:szCs w:val="21"/>
              </w:rPr>
              <w:t>条款</w:t>
            </w: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受审核部门：管理层   主管领导：张荣才、张平  职业健康安全事务代表</w:t>
            </w:r>
            <w:r>
              <w:rPr>
                <w:rFonts w:hint="eastAsia" w:ascii="宋体" w:hAnsi="宋体" w:eastAsia="宋体" w:cs="宋体"/>
                <w:sz w:val="21"/>
                <w:szCs w:val="21"/>
                <w:lang w:eastAsia="zh-CN"/>
              </w:rPr>
              <w:t>：王保旭</w:t>
            </w: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陪同人员：马英茹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rPr>
                <w:rFonts w:hint="eastAsia" w:ascii="宋体" w:hAnsi="宋体" w:eastAsia="宋体" w:cs="宋体"/>
                <w:sz w:val="21"/>
                <w:szCs w:val="21"/>
              </w:rPr>
            </w:pPr>
          </w:p>
        </w:tc>
        <w:tc>
          <w:tcPr>
            <w:tcW w:w="960" w:type="dxa"/>
            <w:vMerge w:val="continue"/>
            <w:vAlign w:val="center"/>
          </w:tcPr>
          <w:p>
            <w:pPr>
              <w:spacing w:line="360" w:lineRule="auto"/>
              <w:rPr>
                <w:rFonts w:hint="eastAsia" w:ascii="宋体" w:hAnsi="宋体" w:eastAsia="宋体" w:cs="宋体"/>
                <w:sz w:val="21"/>
                <w:szCs w:val="21"/>
              </w:rPr>
            </w:pPr>
          </w:p>
        </w:tc>
        <w:tc>
          <w:tcPr>
            <w:tcW w:w="10004" w:type="dxa"/>
            <w:vAlign w:val="center"/>
          </w:tcPr>
          <w:p>
            <w:pPr>
              <w:spacing w:before="120" w:line="360" w:lineRule="auto"/>
              <w:rPr>
                <w:rFonts w:hint="eastAsia" w:ascii="宋体" w:hAnsi="宋体" w:eastAsia="宋体" w:cs="宋体"/>
                <w:sz w:val="21"/>
                <w:szCs w:val="21"/>
              </w:rPr>
            </w:pPr>
            <w:r>
              <w:rPr>
                <w:rFonts w:hint="eastAsia" w:ascii="宋体" w:hAnsi="宋体" w:eastAsia="宋体" w:cs="宋体"/>
                <w:sz w:val="21"/>
                <w:szCs w:val="21"/>
              </w:rPr>
              <w:t>审核员：</w:t>
            </w:r>
            <w:r>
              <w:rPr>
                <w:rFonts w:hint="eastAsia" w:ascii="宋体" w:hAnsi="宋体" w:cs="宋体"/>
                <w:sz w:val="21"/>
                <w:szCs w:val="21"/>
                <w:lang w:val="en-US" w:eastAsia="zh-CN"/>
              </w:rPr>
              <w:t>伍光华</w:t>
            </w:r>
            <w:r>
              <w:rPr>
                <w:rFonts w:hint="eastAsia" w:ascii="宋体" w:hAnsi="宋体" w:eastAsia="宋体" w:cs="宋体"/>
                <w:sz w:val="21"/>
                <w:szCs w:val="21"/>
              </w:rPr>
              <w:t xml:space="preserve">     审核时间：202</w:t>
            </w:r>
            <w:r>
              <w:rPr>
                <w:rFonts w:hint="eastAsia" w:ascii="宋体" w:hAnsi="宋体" w:cs="宋体"/>
                <w:sz w:val="21"/>
                <w:szCs w:val="21"/>
                <w:lang w:val="en-US" w:eastAsia="zh-CN"/>
              </w:rPr>
              <w:t>1</w:t>
            </w:r>
            <w:r>
              <w:rPr>
                <w:rFonts w:hint="eastAsia" w:ascii="宋体" w:hAnsi="宋体" w:eastAsia="宋体" w:cs="宋体"/>
                <w:sz w:val="21"/>
                <w:szCs w:val="21"/>
              </w:rPr>
              <w:t>年0</w:t>
            </w:r>
            <w:r>
              <w:rPr>
                <w:rFonts w:hint="eastAsia" w:ascii="宋体" w:hAnsi="宋体" w:cs="宋体"/>
                <w:sz w:val="21"/>
                <w:szCs w:val="21"/>
                <w:lang w:val="en-US" w:eastAsia="zh-CN"/>
              </w:rPr>
              <w:t>6</w:t>
            </w:r>
            <w:r>
              <w:rPr>
                <w:rFonts w:hint="eastAsia" w:ascii="宋体" w:hAnsi="宋体" w:eastAsia="宋体" w:cs="宋体"/>
                <w:sz w:val="21"/>
                <w:szCs w:val="21"/>
              </w:rPr>
              <w:t>月</w:t>
            </w:r>
            <w:r>
              <w:rPr>
                <w:rFonts w:hint="eastAsia" w:ascii="宋体" w:hAnsi="宋体" w:cs="宋体"/>
                <w:sz w:val="21"/>
                <w:szCs w:val="21"/>
                <w:lang w:val="en-US" w:eastAsia="zh-CN"/>
              </w:rPr>
              <w:t>07</w:t>
            </w:r>
            <w:r>
              <w:rPr>
                <w:rFonts w:hint="eastAsia" w:ascii="宋体" w:hAnsi="宋体" w:eastAsia="宋体" w:cs="宋体"/>
                <w:sz w:val="21"/>
                <w:szCs w:val="21"/>
              </w:rPr>
              <w:t>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rPr>
                <w:rFonts w:hint="eastAsia" w:ascii="宋体" w:hAnsi="宋体" w:eastAsia="宋体" w:cs="宋体"/>
                <w:sz w:val="21"/>
                <w:szCs w:val="21"/>
              </w:rPr>
            </w:pPr>
          </w:p>
        </w:tc>
        <w:tc>
          <w:tcPr>
            <w:tcW w:w="960" w:type="dxa"/>
            <w:vMerge w:val="continue"/>
            <w:vAlign w:val="center"/>
          </w:tcPr>
          <w:p>
            <w:pPr>
              <w:spacing w:line="360" w:lineRule="auto"/>
              <w:rPr>
                <w:rFonts w:hint="eastAsia" w:ascii="宋体" w:hAnsi="宋体" w:eastAsia="宋体" w:cs="宋体"/>
                <w:sz w:val="21"/>
                <w:szCs w:val="21"/>
              </w:rPr>
            </w:pP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审核条款：</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QEO:4.1理解组织及其环境、4.2理解相关方的需求和期望、4.3 确定管理体系的范围、4.4质量/环境/职业健康安全管理体系及其过程、5.1领导作用和承诺、5.2质量/环境/职业健康安全方针、5.3组织的岗位、职责和权限、QE</w:t>
            </w:r>
            <w:r>
              <w:rPr>
                <w:rFonts w:hint="eastAsia" w:ascii="宋体" w:hAnsi="宋体" w:eastAsia="宋体" w:cs="宋体"/>
                <w:sz w:val="21"/>
                <w:szCs w:val="21"/>
                <w:lang w:eastAsia="zh-CN"/>
              </w:rPr>
              <w:t>：</w:t>
            </w:r>
            <w:r>
              <w:rPr>
                <w:rFonts w:hint="eastAsia" w:ascii="宋体" w:hAnsi="宋体" w:eastAsia="宋体" w:cs="宋体"/>
                <w:sz w:val="21"/>
                <w:szCs w:val="21"/>
              </w:rPr>
              <w:t>5.1.2以顾客为关注焦点</w:t>
            </w:r>
            <w:r>
              <w:rPr>
                <w:rFonts w:hint="eastAsia" w:ascii="宋体" w:hAnsi="宋体" w:eastAsia="宋体" w:cs="宋体"/>
                <w:sz w:val="21"/>
                <w:szCs w:val="21"/>
                <w:lang w:eastAsia="zh-CN"/>
              </w:rPr>
              <w:t>、</w:t>
            </w:r>
            <w:r>
              <w:rPr>
                <w:rFonts w:hint="eastAsia" w:ascii="宋体" w:hAnsi="宋体" w:eastAsia="宋体" w:cs="宋体"/>
                <w:sz w:val="21"/>
                <w:szCs w:val="21"/>
              </w:rPr>
              <w:t>OMS：5.4协商与参与、6.1应对风险和机遇的措施、6.2质量/环境/职业健康安全目标及其实现的策划、Q：6.3变更的策划、7.1.1（EO7.1）资源总则、</w:t>
            </w:r>
            <w:r>
              <w:rPr>
                <w:rFonts w:hint="eastAsia" w:ascii="宋体" w:hAnsi="宋体" w:eastAsia="宋体" w:cs="宋体"/>
                <w:b w:val="0"/>
                <w:bCs/>
              </w:rPr>
              <w:t>QE</w:t>
            </w:r>
            <w:r>
              <w:rPr>
                <w:rFonts w:hint="eastAsia" w:ascii="宋体" w:hAnsi="宋体" w:cs="宋体"/>
                <w:b w:val="0"/>
                <w:bCs/>
                <w:lang w:eastAsia="zh-CN"/>
              </w:rPr>
              <w:t>：</w:t>
            </w:r>
            <w:r>
              <w:rPr>
                <w:rFonts w:hint="eastAsia" w:ascii="宋体" w:hAnsi="宋体" w:eastAsia="宋体" w:cs="宋体"/>
                <w:b w:val="0"/>
                <w:bCs/>
              </w:rPr>
              <w:t>9.1.1绩效测量和监视</w:t>
            </w:r>
            <w:r>
              <w:rPr>
                <w:rFonts w:hint="eastAsia" w:ascii="宋体" w:hAnsi="宋体" w:cs="宋体"/>
                <w:b w:val="0"/>
                <w:bCs/>
                <w:lang w:eastAsia="zh-CN"/>
              </w:rPr>
              <w:t>、</w:t>
            </w:r>
            <w:r>
              <w:rPr>
                <w:rFonts w:hint="eastAsia" w:ascii="宋体" w:hAnsi="宋体" w:eastAsia="宋体" w:cs="宋体"/>
                <w:sz w:val="21"/>
                <w:szCs w:val="21"/>
              </w:rPr>
              <w:t>7.4沟通/信息交流、9.3管理评审、10.1改进、10.3持续改进，</w:t>
            </w:r>
          </w:p>
          <w:p>
            <w:pPr>
              <w:spacing w:line="360" w:lineRule="auto"/>
              <w:rPr>
                <w:rFonts w:hint="eastAsia" w:ascii="宋体" w:hAnsi="宋体" w:eastAsia="宋体" w:cs="宋体"/>
                <w:sz w:val="21"/>
                <w:szCs w:val="21"/>
              </w:rPr>
            </w:pPr>
            <w:r>
              <w:rPr>
                <w:rFonts w:hint="eastAsia" w:ascii="宋体" w:hAnsi="宋体" w:eastAsia="宋体" w:cs="宋体"/>
                <w:sz w:val="21"/>
                <w:szCs w:val="21"/>
              </w:rPr>
              <w:t>国家/地方监督抽查情况；顾客满意、相关方投诉及处理情况；一阶段问题验证，</w:t>
            </w:r>
          </w:p>
          <w:p>
            <w:pPr>
              <w:spacing w:line="360" w:lineRule="auto"/>
              <w:rPr>
                <w:rFonts w:hint="eastAsia" w:ascii="宋体" w:hAnsi="宋体" w:eastAsia="宋体" w:cs="宋体"/>
                <w:sz w:val="21"/>
                <w:szCs w:val="21"/>
              </w:rPr>
            </w:pPr>
            <w:r>
              <w:rPr>
                <w:rFonts w:hint="eastAsia" w:ascii="宋体" w:hAnsi="宋体" w:eastAsia="宋体" w:cs="宋体"/>
                <w:sz w:val="21"/>
                <w:szCs w:val="21"/>
              </w:rPr>
              <w:t>验证企业相关资质证明的有效性；</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9" w:hRule="atLeast"/>
        </w:trPr>
        <w:tc>
          <w:tcPr>
            <w:tcW w:w="2160" w:type="dxa"/>
            <w:vAlign w:val="center"/>
          </w:tcPr>
          <w:p>
            <w:pPr>
              <w:spacing w:line="360" w:lineRule="auto"/>
              <w:rPr>
                <w:rFonts w:hint="eastAsia" w:ascii="宋体" w:hAnsi="宋体" w:eastAsia="宋体" w:cs="宋体"/>
                <w:b w:val="0"/>
                <w:bCs/>
              </w:rPr>
            </w:pPr>
            <w:r>
              <w:rPr>
                <w:rFonts w:hint="eastAsia" w:ascii="宋体" w:hAnsi="宋体" w:eastAsia="宋体" w:cs="宋体"/>
                <w:b w:val="0"/>
                <w:bCs/>
              </w:rPr>
              <w:t>资质</w:t>
            </w:r>
          </w:p>
          <w:p>
            <w:pPr>
              <w:spacing w:line="360" w:lineRule="auto"/>
              <w:rPr>
                <w:rFonts w:hint="eastAsia" w:ascii="宋体" w:hAnsi="宋体" w:eastAsia="宋体" w:cs="宋体"/>
                <w:b w:val="0"/>
                <w:bCs/>
              </w:rPr>
            </w:pPr>
          </w:p>
          <w:p>
            <w:pPr>
              <w:spacing w:line="360" w:lineRule="auto"/>
              <w:rPr>
                <w:rFonts w:hint="eastAsia" w:ascii="宋体" w:hAnsi="宋体" w:eastAsia="宋体" w:cs="宋体"/>
                <w:b w:val="0"/>
                <w:bCs/>
              </w:rPr>
            </w:pPr>
            <w:r>
              <w:rPr>
                <w:rFonts w:hint="eastAsia" w:ascii="宋体" w:hAnsi="宋体" w:eastAsia="宋体" w:cs="宋体"/>
                <w:b w:val="0"/>
                <w:bCs/>
              </w:rPr>
              <w:t>范围再确认</w:t>
            </w:r>
          </w:p>
          <w:p>
            <w:pPr>
              <w:spacing w:line="360" w:lineRule="auto"/>
              <w:rPr>
                <w:rFonts w:hint="eastAsia" w:ascii="宋体" w:hAnsi="宋体" w:eastAsia="宋体" w:cs="宋体"/>
                <w:b w:val="0"/>
                <w:bCs/>
              </w:rPr>
            </w:pPr>
          </w:p>
          <w:p>
            <w:pPr>
              <w:spacing w:line="360" w:lineRule="auto"/>
              <w:rPr>
                <w:rFonts w:hint="eastAsia" w:ascii="宋体" w:hAnsi="宋体" w:eastAsia="宋体" w:cs="宋体"/>
                <w:b w:val="0"/>
                <w:bCs/>
              </w:rPr>
            </w:pPr>
          </w:p>
          <w:p>
            <w:pPr>
              <w:spacing w:line="360" w:lineRule="auto"/>
              <w:rPr>
                <w:rFonts w:hint="eastAsia" w:ascii="宋体" w:hAnsi="宋体" w:eastAsia="宋体" w:cs="宋体"/>
                <w:b w:val="0"/>
                <w:bCs/>
              </w:rPr>
            </w:pPr>
          </w:p>
          <w:p>
            <w:pPr>
              <w:spacing w:line="360" w:lineRule="auto"/>
              <w:rPr>
                <w:rFonts w:hint="eastAsia" w:ascii="宋体" w:hAnsi="宋体" w:eastAsia="宋体" w:cs="宋体"/>
                <w:b w:val="0"/>
                <w:bCs/>
              </w:rPr>
            </w:pPr>
            <w:r>
              <w:rPr>
                <w:rFonts w:hint="eastAsia" w:ascii="宋体" w:hAnsi="宋体" w:eastAsia="宋体" w:cs="宋体"/>
                <w:b w:val="0"/>
                <w:bCs/>
              </w:rPr>
              <w:t>上次不符合项验证</w:t>
            </w:r>
          </w:p>
          <w:p>
            <w:pPr>
              <w:spacing w:line="360" w:lineRule="auto"/>
              <w:rPr>
                <w:rFonts w:hint="eastAsia" w:ascii="宋体" w:hAnsi="宋体" w:eastAsia="宋体" w:cs="宋体"/>
                <w:b w:val="0"/>
                <w:bCs/>
              </w:rPr>
            </w:pPr>
          </w:p>
          <w:p>
            <w:pPr>
              <w:spacing w:line="360" w:lineRule="auto"/>
              <w:rPr>
                <w:rFonts w:hint="eastAsia" w:ascii="宋体" w:hAnsi="宋体" w:eastAsia="宋体" w:cs="宋体"/>
                <w:b w:val="0"/>
                <w:bCs/>
              </w:rPr>
            </w:pPr>
            <w:r>
              <w:rPr>
                <w:rFonts w:hint="eastAsia" w:ascii="宋体" w:hAnsi="宋体" w:eastAsia="宋体" w:cs="宋体"/>
                <w:b w:val="0"/>
                <w:bCs/>
              </w:rPr>
              <w:t>投诉或事故/政府主管部门监督抽查情况</w:t>
            </w:r>
          </w:p>
          <w:p>
            <w:pPr>
              <w:spacing w:line="360" w:lineRule="auto"/>
              <w:rPr>
                <w:rFonts w:hint="eastAsia" w:ascii="宋体" w:hAnsi="宋体" w:eastAsia="宋体" w:cs="宋体"/>
                <w:b w:val="0"/>
                <w:bCs/>
              </w:rPr>
            </w:pPr>
            <w:r>
              <w:rPr>
                <w:rFonts w:hint="eastAsia" w:ascii="宋体" w:hAnsi="宋体" w:eastAsia="宋体" w:cs="宋体"/>
                <w:b w:val="0"/>
                <w:bCs/>
              </w:rPr>
              <w:t>证书和标准的适宜</w:t>
            </w:r>
          </w:p>
        </w:tc>
        <w:tc>
          <w:tcPr>
            <w:tcW w:w="960" w:type="dxa"/>
            <w:vAlign w:val="center"/>
          </w:tcPr>
          <w:p>
            <w:pPr>
              <w:spacing w:line="360" w:lineRule="auto"/>
              <w:rPr>
                <w:rFonts w:hint="eastAsia" w:ascii="宋体" w:hAnsi="宋体" w:eastAsia="宋体" w:cs="宋体"/>
                <w:b w:val="0"/>
                <w:bCs/>
              </w:rPr>
            </w:pPr>
          </w:p>
        </w:tc>
        <w:tc>
          <w:tcPr>
            <w:tcW w:w="10004" w:type="dxa"/>
            <w:vAlign w:val="center"/>
          </w:tcPr>
          <w:p>
            <w:pPr>
              <w:spacing w:line="360" w:lineRule="auto"/>
              <w:rPr>
                <w:rFonts w:hint="eastAsia" w:ascii="宋体" w:hAnsi="宋体" w:eastAsia="宋体" w:cs="宋体"/>
                <w:b w:val="0"/>
                <w:bCs/>
              </w:rPr>
            </w:pPr>
            <w:r>
              <w:rPr>
                <w:rFonts w:hint="eastAsia" w:ascii="宋体" w:hAnsi="宋体" w:eastAsia="宋体" w:cs="宋体"/>
                <w:b w:val="0"/>
                <w:bCs/>
              </w:rPr>
              <w:t>受审核方唐县睿智文教用品加工有限公司成立于2013年06月21日，地处唐县王京镇西安乐村，注册地、经营地：唐县王京镇西安乐村</w:t>
            </w:r>
          </w:p>
          <w:p>
            <w:pPr>
              <w:spacing w:line="360" w:lineRule="auto"/>
              <w:rPr>
                <w:rFonts w:hint="eastAsia" w:ascii="宋体" w:hAnsi="宋体" w:eastAsia="宋体" w:cs="宋体"/>
                <w:b w:val="0"/>
                <w:bCs/>
              </w:rPr>
            </w:pPr>
            <w:r>
              <w:rPr>
                <w:rFonts w:hint="eastAsia" w:ascii="宋体" w:hAnsi="宋体" w:eastAsia="宋体" w:cs="宋体"/>
                <w:b w:val="0"/>
                <w:bCs/>
              </w:rPr>
              <w:t>营业执照副本，见附件。</w:t>
            </w:r>
          </w:p>
          <w:p>
            <w:pPr>
              <w:spacing w:line="360" w:lineRule="auto"/>
              <w:rPr>
                <w:rFonts w:hint="eastAsia" w:ascii="宋体" w:hAnsi="宋体" w:eastAsia="宋体" w:cs="宋体"/>
                <w:b w:val="0"/>
                <w:bCs/>
              </w:rPr>
            </w:pPr>
            <w:r>
              <w:rPr>
                <w:rFonts w:hint="eastAsia" w:ascii="宋体" w:hAnsi="宋体" w:eastAsia="宋体" w:cs="宋体"/>
                <w:b w:val="0"/>
                <w:bCs/>
              </w:rPr>
              <w:t>QMS: 音体美器材、教学仪器、课桌椅床、办公用品、书架、幼儿玩具（对儿童有危害的除外）的销售</w:t>
            </w:r>
          </w:p>
          <w:p>
            <w:pPr>
              <w:spacing w:line="360" w:lineRule="auto"/>
              <w:rPr>
                <w:rFonts w:hint="eastAsia" w:ascii="宋体" w:hAnsi="宋体" w:eastAsia="宋体" w:cs="宋体"/>
                <w:b w:val="0"/>
                <w:bCs/>
              </w:rPr>
            </w:pPr>
            <w:r>
              <w:rPr>
                <w:rFonts w:hint="eastAsia" w:ascii="宋体" w:hAnsi="宋体" w:eastAsia="宋体" w:cs="宋体"/>
                <w:b w:val="0"/>
                <w:bCs/>
              </w:rPr>
              <w:t>EMS: 音体美器材、教学仪器、课桌椅床、办公用品、书架、幼儿玩具（对儿童有危害的除外）的销售及相关环境管理活动</w:t>
            </w:r>
          </w:p>
          <w:p>
            <w:pPr>
              <w:spacing w:line="360" w:lineRule="auto"/>
              <w:rPr>
                <w:rFonts w:hint="eastAsia" w:ascii="宋体" w:hAnsi="宋体" w:eastAsia="宋体" w:cs="宋体"/>
                <w:b w:val="0"/>
                <w:bCs/>
              </w:rPr>
            </w:pPr>
            <w:r>
              <w:rPr>
                <w:rFonts w:hint="eastAsia" w:ascii="宋体" w:hAnsi="宋体" w:eastAsia="宋体" w:cs="宋体"/>
                <w:b w:val="0"/>
                <w:bCs/>
              </w:rPr>
              <w:t>OHSMS: 音体美器材、教学仪器、课桌椅床、办公用品、书架、幼儿玩具（对儿童有危害的除外）的销售及相关职业健康安全管理活动</w:t>
            </w:r>
          </w:p>
          <w:p>
            <w:pPr>
              <w:spacing w:line="360" w:lineRule="auto"/>
              <w:rPr>
                <w:rFonts w:hint="eastAsia" w:ascii="宋体" w:hAnsi="宋体" w:eastAsia="宋体" w:cs="宋体"/>
                <w:b w:val="0"/>
                <w:bCs/>
              </w:rPr>
            </w:pPr>
            <w:r>
              <w:rPr>
                <w:rFonts w:hint="eastAsia" w:ascii="宋体" w:hAnsi="宋体" w:eastAsia="宋体" w:cs="宋体"/>
                <w:b w:val="0"/>
                <w:bCs/>
              </w:rPr>
              <w:t>上次不符合项整改有效。</w:t>
            </w:r>
          </w:p>
          <w:p>
            <w:pPr>
              <w:spacing w:line="360" w:lineRule="auto"/>
              <w:rPr>
                <w:rFonts w:hint="eastAsia" w:ascii="宋体" w:hAnsi="宋体" w:eastAsia="宋体" w:cs="宋体"/>
                <w:b w:val="0"/>
                <w:bCs/>
              </w:rPr>
            </w:pPr>
            <w:r>
              <w:rPr>
                <w:rFonts w:hint="eastAsia" w:ascii="宋体" w:hAnsi="宋体" w:eastAsia="宋体" w:cs="宋体"/>
                <w:b w:val="0"/>
                <w:bCs/>
              </w:rPr>
              <w:t>无</w:t>
            </w:r>
          </w:p>
          <w:p>
            <w:pPr>
              <w:spacing w:line="360" w:lineRule="auto"/>
              <w:rPr>
                <w:rFonts w:hint="eastAsia" w:ascii="宋体" w:hAnsi="宋体" w:eastAsia="宋体" w:cs="宋体"/>
                <w:b w:val="0"/>
                <w:bCs/>
              </w:rPr>
            </w:pPr>
            <w:r>
              <w:rPr>
                <w:rFonts w:hint="eastAsia" w:ascii="宋体" w:hAnsi="宋体" w:eastAsia="宋体" w:cs="宋体"/>
                <w:b w:val="0"/>
                <w:bCs/>
              </w:rPr>
              <w:t>无变化。</w:t>
            </w:r>
          </w:p>
          <w:p>
            <w:pPr>
              <w:spacing w:line="360" w:lineRule="auto"/>
              <w:rPr>
                <w:rFonts w:hint="eastAsia" w:ascii="宋体" w:hAnsi="宋体" w:eastAsia="宋体" w:cs="宋体"/>
                <w:b w:val="0"/>
                <w:bCs/>
              </w:rPr>
            </w:pPr>
            <w:r>
              <w:rPr>
                <w:rFonts w:hint="eastAsia" w:ascii="宋体" w:hAnsi="宋体" w:eastAsia="宋体" w:cs="宋体"/>
                <w:b w:val="0"/>
                <w:bCs/>
              </w:rPr>
              <w:t>正常使用，用于招投标及企业宣传。</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领导作用和承诺</w:t>
            </w:r>
          </w:p>
          <w:p>
            <w:pPr>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总则</w:t>
            </w:r>
          </w:p>
          <w:p>
            <w:pPr>
              <w:pStyle w:val="2"/>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组织的岗位、职责和权限</w:t>
            </w:r>
          </w:p>
          <w:p>
            <w:pPr>
              <w:pStyle w:val="3"/>
              <w:spacing w:line="360" w:lineRule="auto"/>
              <w:rPr>
                <w:rFonts w:hint="eastAsia" w:ascii="宋体" w:hAnsi="宋体" w:eastAsia="宋体" w:cs="宋体"/>
                <w:b w:val="0"/>
                <w:bCs w:val="0"/>
                <w:sz w:val="21"/>
                <w:szCs w:val="21"/>
              </w:rPr>
            </w:pPr>
          </w:p>
          <w:p>
            <w:pPr>
              <w:pStyle w:val="3"/>
              <w:spacing w:line="360" w:lineRule="auto"/>
              <w:ind w:left="0" w:leftChars="0"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协商与参与</w:t>
            </w:r>
          </w:p>
          <w:p>
            <w:pPr>
              <w:pStyle w:val="3"/>
              <w:rPr>
                <w:rFonts w:hint="eastAsia" w:ascii="宋体" w:hAnsi="宋体" w:eastAsia="宋体" w:cs="宋体"/>
                <w:sz w:val="21"/>
                <w:szCs w:val="21"/>
              </w:rPr>
            </w:pPr>
          </w:p>
          <w:p>
            <w:pPr>
              <w:pStyle w:val="3"/>
              <w:rPr>
                <w:rFonts w:hint="eastAsia" w:ascii="宋体" w:hAnsi="宋体" w:eastAsia="宋体" w:cs="宋体"/>
                <w:sz w:val="21"/>
                <w:szCs w:val="21"/>
              </w:rPr>
            </w:pPr>
          </w:p>
          <w:p>
            <w:pPr>
              <w:pStyle w:val="3"/>
              <w:rPr>
                <w:rFonts w:hint="eastAsia" w:ascii="宋体" w:hAnsi="宋体" w:eastAsia="宋体" w:cs="宋体"/>
                <w:sz w:val="21"/>
                <w:szCs w:val="21"/>
                <w:lang w:val="en-US" w:eastAsia="zh-CN"/>
              </w:rPr>
            </w:pPr>
          </w:p>
        </w:tc>
        <w:tc>
          <w:tcPr>
            <w:tcW w:w="960" w:type="dxa"/>
            <w:vAlign w:val="center"/>
          </w:tcPr>
          <w:p>
            <w:pPr>
              <w:spacing w:line="360" w:lineRule="auto"/>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rPr>
              <w:t>QEO</w:t>
            </w:r>
            <w:r>
              <w:rPr>
                <w:rFonts w:hint="eastAsia" w:ascii="宋体" w:hAnsi="宋体" w:eastAsia="宋体" w:cs="宋体"/>
                <w:b w:val="0"/>
                <w:bCs/>
                <w:sz w:val="21"/>
                <w:szCs w:val="21"/>
                <w:lang w:val="en-US" w:eastAsia="zh-CN"/>
              </w:rPr>
              <w:t>:</w:t>
            </w:r>
          </w:p>
          <w:p>
            <w:pPr>
              <w:spacing w:line="360" w:lineRule="auto"/>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5.1</w:t>
            </w:r>
            <w:r>
              <w:rPr>
                <w:rFonts w:hint="eastAsia" w:asciiTheme="minorEastAsia" w:hAnsiTheme="minorEastAsia" w:eastAsiaTheme="minorEastAsia" w:cstheme="minorEastAsia"/>
                <w:sz w:val="21"/>
                <w:szCs w:val="21"/>
                <w:lang w:val="en-US" w:eastAsia="zh-CN"/>
              </w:rPr>
              <w:t>，</w:t>
            </w:r>
          </w:p>
          <w:p>
            <w:pPr>
              <w:spacing w:line="360" w:lineRule="auto"/>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 xml:space="preserve">5.3 </w:t>
            </w:r>
            <w:r>
              <w:rPr>
                <w:rFonts w:hint="eastAsia" w:asciiTheme="minorEastAsia" w:hAnsiTheme="minorEastAsia" w:eastAsiaTheme="minorEastAsia" w:cstheme="minorEastAsia"/>
                <w:sz w:val="21"/>
                <w:szCs w:val="21"/>
                <w:lang w:eastAsia="zh-CN"/>
              </w:rPr>
              <w:t>，</w:t>
            </w:r>
          </w:p>
          <w:p>
            <w:pPr>
              <w:rPr>
                <w:rFonts w:hint="eastAsia" w:asciiTheme="minorEastAsia" w:hAnsiTheme="minorEastAsia" w:eastAsiaTheme="minorEastAsia" w:cstheme="minorEastAsia"/>
                <w:sz w:val="21"/>
                <w:szCs w:val="21"/>
                <w:lang w:val="en-US" w:eastAsia="zh-CN"/>
              </w:rPr>
            </w:pPr>
          </w:p>
          <w:p>
            <w:pPr>
              <w:rPr>
                <w:rFonts w:hint="eastAsia" w:ascii="宋体" w:hAnsi="宋体" w:eastAsia="宋体" w:cs="宋体"/>
                <w:b w:val="0"/>
                <w:bCs/>
                <w:sz w:val="21"/>
                <w:szCs w:val="21"/>
                <w:lang w:val="en-US" w:eastAsia="zh-CN"/>
              </w:rPr>
            </w:pPr>
            <w:r>
              <w:rPr>
                <w:rFonts w:hint="eastAsia" w:asciiTheme="minorEastAsia" w:hAnsiTheme="minorEastAsia" w:eastAsiaTheme="minorEastAsia" w:cstheme="minorEastAsia"/>
                <w:sz w:val="21"/>
                <w:szCs w:val="21"/>
                <w:lang w:val="en-US" w:eastAsia="zh-CN"/>
              </w:rPr>
              <w:t>O:5.4</w:t>
            </w:r>
          </w:p>
          <w:p>
            <w:pPr>
              <w:rPr>
                <w:rFonts w:hint="eastAsia" w:ascii="宋体" w:hAnsi="宋体" w:eastAsia="宋体" w:cs="宋体"/>
                <w:b w:val="0"/>
                <w:bCs/>
                <w:kern w:val="2"/>
                <w:sz w:val="21"/>
                <w:lang w:val="en-US" w:eastAsia="zh-CN" w:bidi="ar-SA"/>
              </w:rPr>
            </w:pPr>
          </w:p>
        </w:tc>
        <w:tc>
          <w:tcPr>
            <w:tcW w:w="10004" w:type="dxa"/>
            <w:vAlign w:val="center"/>
          </w:tcPr>
          <w:p>
            <w:pPr>
              <w:spacing w:line="360" w:lineRule="auto"/>
              <w:rPr>
                <w:rFonts w:hint="eastAsia"/>
              </w:rPr>
            </w:pPr>
            <w:r>
              <w:rPr>
                <w:rFonts w:hint="eastAsia"/>
              </w:rPr>
              <w:t>据</w:t>
            </w:r>
            <w:r>
              <w:rPr>
                <w:rFonts w:hint="eastAsia"/>
                <w:lang w:val="en-US" w:eastAsia="zh-CN"/>
              </w:rPr>
              <w:t>总经理：</w:t>
            </w:r>
            <w:r>
              <w:rPr>
                <w:rFonts w:hint="eastAsia"/>
              </w:rPr>
              <w:t>张荣才</w:t>
            </w:r>
            <w:r>
              <w:rPr>
                <w:rFonts w:hint="eastAsia"/>
                <w:lang w:val="en-US" w:eastAsia="zh-CN"/>
              </w:rPr>
              <w:t xml:space="preserve"> ，</w:t>
            </w:r>
            <w:r>
              <w:rPr>
                <w:rFonts w:hint="eastAsia"/>
              </w:rPr>
              <w:t>管代张平介绍，公司</w:t>
            </w:r>
            <w:r>
              <w:rPr>
                <w:rFonts w:hint="eastAsia"/>
                <w:lang w:val="en-US" w:eastAsia="zh-CN"/>
              </w:rPr>
              <w:t>根据</w:t>
            </w:r>
            <w:r>
              <w:rPr>
                <w:rFonts w:hint="eastAsia"/>
              </w:rPr>
              <w:t>GB/T19001-20</w:t>
            </w:r>
            <w:r>
              <w:t>16</w:t>
            </w:r>
            <w:r>
              <w:rPr>
                <w:rFonts w:hint="eastAsia"/>
              </w:rPr>
              <w:t xml:space="preserve"> </w:t>
            </w:r>
            <w:r>
              <w:rPr>
                <w:rFonts w:hint="eastAsia"/>
                <w:lang w:eastAsia="zh-CN"/>
              </w:rPr>
              <w:t>、</w:t>
            </w:r>
            <w:r>
              <w:rPr>
                <w:rFonts w:hint="eastAsia"/>
              </w:rPr>
              <w:t>GB/T24001-20</w:t>
            </w:r>
            <w:r>
              <w:t>16</w:t>
            </w:r>
            <w:r>
              <w:rPr>
                <w:rFonts w:hint="eastAsia"/>
              </w:rPr>
              <w:t xml:space="preserve"> </w:t>
            </w:r>
            <w:r>
              <w:rPr>
                <w:rFonts w:hint="eastAsia"/>
                <w:lang w:eastAsia="zh-CN"/>
              </w:rPr>
              <w:t>、</w:t>
            </w:r>
            <w:r>
              <w:t>ISO45001:2018</w:t>
            </w:r>
            <w:r>
              <w:rPr>
                <w:rFonts w:hint="eastAsia"/>
                <w:lang w:val="en-US" w:eastAsia="zh-CN"/>
              </w:rPr>
              <w:t>标准的变化，2019年9月对体系文件进行了修改，提供B0版的TXRZ/SC-2019《质量、环境、职业健康安全管理手册》由总经理张荣才签发，</w:t>
            </w:r>
            <w:r>
              <w:rPr>
                <w:rFonts w:hint="eastAsia"/>
              </w:rPr>
              <w:t>2019.</w:t>
            </w:r>
            <w:r>
              <w:rPr>
                <w:rFonts w:hint="eastAsia"/>
                <w:lang w:val="en-US" w:eastAsia="zh-CN"/>
              </w:rPr>
              <w:t>9</w:t>
            </w:r>
            <w:r>
              <w:rPr>
                <w:rFonts w:hint="eastAsia"/>
              </w:rPr>
              <w:t>.</w:t>
            </w:r>
            <w:r>
              <w:rPr>
                <w:rFonts w:hint="eastAsia"/>
                <w:lang w:val="en-US" w:eastAsia="zh-CN"/>
              </w:rPr>
              <w:t>12</w:t>
            </w:r>
            <w:r>
              <w:rPr>
                <w:rFonts w:hint="eastAsia"/>
              </w:rPr>
              <w:t>发布，2019.</w:t>
            </w:r>
            <w:r>
              <w:rPr>
                <w:rFonts w:hint="eastAsia"/>
                <w:lang w:val="en-US" w:eastAsia="zh-CN"/>
              </w:rPr>
              <w:t>9</w:t>
            </w:r>
            <w:r>
              <w:rPr>
                <w:rFonts w:hint="eastAsia"/>
              </w:rPr>
              <w:t>.</w:t>
            </w:r>
            <w:r>
              <w:rPr>
                <w:rFonts w:hint="eastAsia"/>
                <w:lang w:val="en-US" w:eastAsia="zh-CN"/>
              </w:rPr>
              <w:t>12</w:t>
            </w:r>
            <w:r>
              <w:rPr>
                <w:rFonts w:hint="eastAsia"/>
              </w:rPr>
              <w:t>实施</w:t>
            </w:r>
            <w:r>
              <w:rPr>
                <w:rFonts w:hint="eastAsia"/>
                <w:lang w:eastAsia="zh-CN"/>
              </w:rPr>
              <w:t>，</w:t>
            </w:r>
            <w:r>
              <w:rPr>
                <w:rFonts w:hint="eastAsia"/>
              </w:rPr>
              <w:t>任命管代：</w:t>
            </w:r>
            <w:r>
              <w:rPr>
                <w:rFonts w:hint="eastAsia"/>
                <w:lang w:eastAsia="zh-CN"/>
              </w:rPr>
              <w:t>张平</w:t>
            </w:r>
            <w:r>
              <w:rPr>
                <w:rFonts w:hint="eastAsia"/>
              </w:rPr>
              <w:t>；职业健康安全事务代表：</w:t>
            </w:r>
            <w:r>
              <w:rPr>
                <w:rFonts w:hint="eastAsia"/>
                <w:lang w:eastAsia="zh-CN"/>
              </w:rPr>
              <w:t>王保旭。</w:t>
            </w:r>
          </w:p>
          <w:p>
            <w:pPr>
              <w:spacing w:line="360" w:lineRule="auto"/>
              <w:rPr>
                <w:rFonts w:hint="eastAsia"/>
              </w:rPr>
            </w:pPr>
            <w:r>
              <w:rPr>
                <w:rFonts w:hint="eastAsia"/>
              </w:rPr>
              <w:t>企业最高管理者对管理体系的领导作用和承诺主要通过以下方面体现：对管理体系运行的有效性负责；促进使用过程方法和基于风险的思维确保管理体系要求融入企业的业务过程；确保建立的管理体系与组织内外部环境、战略方向保持一致管理方针、管理目标的制定，应与组织环境相适应，与战略方向一致；为确保管理体系所需的资源（包括人力、设备、技术和信息等）确保管理体系实现期望的结果；督促人员积极参与、指导和支持员工为管理体系的有效性做出贡献；支持相关管理者在其职责范围内发挥领导作用，推动改进等。领导作用和承诺充分明确，基本符合标准要求。</w:t>
            </w:r>
          </w:p>
          <w:p>
            <w:pPr>
              <w:spacing w:line="360" w:lineRule="auto"/>
              <w:rPr>
                <w:rFonts w:hint="eastAsia"/>
                <w:lang w:eastAsia="zh-CN"/>
              </w:rPr>
            </w:pPr>
            <w:r>
              <w:rPr>
                <w:rFonts w:hint="eastAsia"/>
                <w:lang w:eastAsia="zh-CN"/>
              </w:rPr>
              <w:t>质量、环境和职业健康安全管理体系的管</w:t>
            </w:r>
            <w:r>
              <w:rPr>
                <w:lang w:eastAsia="zh-CN"/>
              </w:rPr>
              <w:t>理者代表</w:t>
            </w:r>
            <w:r>
              <w:rPr>
                <w:rFonts w:hint="eastAsia"/>
                <w:lang w:val="en-US" w:eastAsia="zh-CN"/>
              </w:rPr>
              <w:t>的</w:t>
            </w:r>
            <w:r>
              <w:rPr>
                <w:lang w:eastAsia="zh-CN"/>
              </w:rPr>
              <w:t>职责和权限</w:t>
            </w:r>
            <w:r>
              <w:rPr>
                <w:rFonts w:hint="eastAsia"/>
                <w:lang w:val="en-US" w:eastAsia="zh-CN"/>
              </w:rPr>
              <w:t>为</w:t>
            </w:r>
            <w:r>
              <w:rPr>
                <w:lang w:eastAsia="zh-CN"/>
              </w:rPr>
              <w:t>：</w:t>
            </w:r>
            <w:r>
              <w:rPr>
                <w:rFonts w:hint="eastAsia"/>
                <w:lang w:eastAsia="zh-CN"/>
              </w:rPr>
              <w:t>确保本公司管理体系所需的过程得到建立、实施和保持，代表总经理行使职权；向最高管理者报告管理体系的运行、管理业绩情况以供评审，并提出体系改进方面的建议；确保在整个组织内提高满足顾客、相关方要求和适用法律法规要求的意识；组织落实公司质量、环境和职业健康安全管理体系的管理评审和内部审核；</w:t>
            </w:r>
            <w:r>
              <w:rPr>
                <w:lang w:eastAsia="zh-CN"/>
              </w:rPr>
              <w:t>及时处理影响公司管理体系正常运行的有关问题</w:t>
            </w:r>
            <w:r>
              <w:rPr>
                <w:rFonts w:hint="eastAsia"/>
                <w:lang w:eastAsia="zh-CN"/>
              </w:rPr>
              <w:t>；负责公司管理体系有关事宜的对外联络。</w:t>
            </w:r>
          </w:p>
          <w:p>
            <w:pPr>
              <w:spacing w:line="360" w:lineRule="auto"/>
              <w:ind w:firstLine="480"/>
              <w:rPr>
                <w:rFonts w:hint="eastAsia"/>
              </w:rPr>
            </w:pPr>
            <w:r>
              <w:rPr>
                <w:rFonts w:hint="eastAsia"/>
                <w:lang w:eastAsia="zh-CN"/>
              </w:rPr>
              <w:t>职业健康安全管理体系的员工代表</w:t>
            </w:r>
            <w:r>
              <w:rPr>
                <w:rFonts w:hint="eastAsia"/>
                <w:lang w:val="en-US" w:eastAsia="zh-CN"/>
              </w:rPr>
              <w:t>的</w:t>
            </w:r>
            <w:r>
              <w:rPr>
                <w:rFonts w:hint="eastAsia"/>
                <w:lang w:eastAsia="zh-CN"/>
              </w:rPr>
              <w:t>工作职责是：应适当参与公司危险源辨识、风险评价和控制措施的确定；当公司发生事故事件时，应适当参与事件调查；适当参与职业健康安全方针和目标的制定和评审工作；对影响工作人员职业健康安全的任何方面的变更进行协商；对本公司的职业健康安全方面的事务发表任何意见。</w:t>
            </w:r>
          </w:p>
          <w:p>
            <w:pPr>
              <w:spacing w:line="360" w:lineRule="auto"/>
              <w:ind w:firstLine="420" w:firstLineChars="200"/>
              <w:rPr>
                <w:rFonts w:hint="eastAsia"/>
                <w:lang w:val="en-US" w:eastAsia="zh-CN"/>
              </w:rPr>
            </w:pPr>
            <w:r>
              <w:rPr>
                <w:rFonts w:hint="eastAsia"/>
              </w:rPr>
              <w:t>企业最高管理者以顾客为关注焦点和承诺内部有通过以下方面证实：满足顾客产品要求和相关方环境要求的重要性意识和理念，确定和理解并持续地顾客要求以及适用的法律法规要求；确定和应对风险和机遇，这些风险和机遇可能影响产品和服务合格以及增强顾客满意的能力；始终致力于增强顾客和相关方满意。无大变化。</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spacing w:line="360" w:lineRule="auto"/>
              <w:rPr>
                <w:rFonts w:hint="eastAsia" w:ascii="宋体" w:hAnsi="宋体" w:eastAsia="宋体" w:cs="宋体"/>
                <w:b w:val="0"/>
                <w:bCs/>
              </w:rPr>
            </w:pPr>
            <w:r>
              <w:rPr>
                <w:rFonts w:hint="eastAsia" w:ascii="宋体" w:hAnsi="宋体" w:eastAsia="宋体" w:cs="宋体"/>
                <w:b w:val="0"/>
                <w:bCs/>
              </w:rPr>
              <w:t>理解组织及其环境</w:t>
            </w:r>
          </w:p>
          <w:p>
            <w:pPr>
              <w:spacing w:line="360" w:lineRule="auto"/>
              <w:rPr>
                <w:rFonts w:hint="eastAsia" w:ascii="宋体" w:hAnsi="宋体" w:eastAsia="宋体" w:cs="宋体"/>
                <w:b w:val="0"/>
                <w:bCs/>
              </w:rPr>
            </w:pPr>
            <w:r>
              <w:rPr>
                <w:rFonts w:hint="eastAsia" w:ascii="宋体" w:hAnsi="宋体" w:eastAsia="宋体" w:cs="宋体"/>
                <w:b w:val="0"/>
                <w:bCs/>
              </w:rPr>
              <w:t>总要求</w:t>
            </w:r>
          </w:p>
        </w:tc>
        <w:tc>
          <w:tcPr>
            <w:tcW w:w="960" w:type="dxa"/>
            <w:vAlign w:val="center"/>
          </w:tcPr>
          <w:p>
            <w:pPr>
              <w:spacing w:line="360" w:lineRule="auto"/>
              <w:rPr>
                <w:rFonts w:hint="eastAsia" w:ascii="宋体" w:hAnsi="宋体" w:eastAsia="宋体" w:cs="宋体"/>
                <w:b w:val="0"/>
                <w:bCs/>
              </w:rPr>
            </w:pPr>
            <w:r>
              <w:rPr>
                <w:rFonts w:hint="eastAsia" w:ascii="宋体" w:hAnsi="宋体" w:eastAsia="宋体" w:cs="宋体"/>
                <w:sz w:val="21"/>
                <w:szCs w:val="21"/>
              </w:rPr>
              <w:t>QEO</w:t>
            </w:r>
            <w:r>
              <w:rPr>
                <w:rFonts w:hint="eastAsia" w:ascii="宋体" w:hAnsi="宋体" w:eastAsia="宋体" w:cs="宋体"/>
                <w:b w:val="0"/>
                <w:bCs/>
              </w:rPr>
              <w:t>:4.1</w:t>
            </w:r>
          </w:p>
          <w:p>
            <w:pPr>
              <w:spacing w:line="360" w:lineRule="auto"/>
              <w:rPr>
                <w:rFonts w:hint="eastAsia" w:ascii="宋体" w:hAnsi="宋体" w:eastAsia="宋体" w:cs="宋体"/>
                <w:b w:val="0"/>
                <w:bCs/>
              </w:rPr>
            </w:pPr>
          </w:p>
        </w:tc>
        <w:tc>
          <w:tcPr>
            <w:tcW w:w="10004" w:type="dxa"/>
            <w:vAlign w:val="center"/>
          </w:tcPr>
          <w:p>
            <w:pPr>
              <w:spacing w:line="360" w:lineRule="auto"/>
              <w:rPr>
                <w:rFonts w:hint="eastAsia" w:ascii="宋体" w:hAnsi="宋体" w:eastAsia="宋体" w:cs="宋体"/>
                <w:b w:val="0"/>
                <w:bCs/>
                <w:szCs w:val="21"/>
              </w:rPr>
            </w:pPr>
            <w:r>
              <w:rPr>
                <w:rFonts w:hint="eastAsia" w:ascii="宋体" w:hAnsi="宋体" w:eastAsia="宋体" w:cs="宋体"/>
                <w:b w:val="0"/>
                <w:bCs/>
                <w:szCs w:val="21"/>
              </w:rPr>
              <w:t>总经理：张荣才，体系负责人、管理者代表：张平</w:t>
            </w:r>
          </w:p>
          <w:p>
            <w:pPr>
              <w:spacing w:line="360" w:lineRule="auto"/>
              <w:ind w:firstLine="420" w:firstLineChars="200"/>
              <w:rPr>
                <w:rFonts w:hint="eastAsia" w:ascii="宋体" w:hAnsi="宋体" w:eastAsia="宋体" w:cs="宋体"/>
                <w:b w:val="0"/>
                <w:bCs/>
                <w:szCs w:val="21"/>
              </w:rPr>
            </w:pPr>
            <w:r>
              <w:rPr>
                <w:rFonts w:hint="eastAsia" w:ascii="宋体" w:hAnsi="宋体" w:eastAsia="宋体" w:cs="宋体"/>
                <w:b w:val="0"/>
                <w:bCs/>
                <w:szCs w:val="21"/>
              </w:rPr>
              <w:t>询问总经理，公司确定了与本公司质量目标和战略方向相关并影响实现质量、环境和职业健康安全管理体系预期结果的各种内部因素（如公司的价值观、文化、知识、绩效等相关因素）和外部因素（国家、地区和当地的各种法律法规、技术、竞争、文化和社会因素等）。这些因素包括了需要考虑的正面和负面因素或条件。</w:t>
            </w:r>
          </w:p>
          <w:p>
            <w:pPr>
              <w:spacing w:line="360" w:lineRule="auto"/>
              <w:ind w:firstLine="420" w:firstLineChars="200"/>
              <w:rPr>
                <w:rFonts w:hint="eastAsia" w:ascii="宋体" w:hAnsi="宋体" w:eastAsia="宋体" w:cs="宋体"/>
                <w:b w:val="0"/>
                <w:bCs/>
                <w:szCs w:val="21"/>
              </w:rPr>
            </w:pPr>
            <w:r>
              <w:rPr>
                <w:rFonts w:hint="eastAsia" w:ascii="宋体" w:hAnsi="宋体" w:eastAsia="宋体" w:cs="宋体"/>
                <w:b w:val="0"/>
                <w:bCs/>
                <w:szCs w:val="21"/>
              </w:rPr>
              <w:t>经营范围：音体美器材、教学仪器、课桌椅床、办公用品、书架、幼儿玩具（对儿童有危害的除外）的销售等。总经理确定与本公司目标和战略方向相关并影响实现体系预期结果的各种内部因素（公司的价值观、文化、知识、绩效等相关因素）和外部因素（国家和当地的各种法律法规、技术、竞争等）。这些因素包括了正面和负面因素或条件。</w:t>
            </w:r>
          </w:p>
          <w:p>
            <w:pPr>
              <w:spacing w:line="360" w:lineRule="auto"/>
              <w:ind w:firstLine="420" w:firstLineChars="200"/>
              <w:rPr>
                <w:rFonts w:hint="eastAsia" w:ascii="宋体" w:hAnsi="宋体" w:eastAsia="宋体" w:cs="宋体"/>
                <w:b w:val="0"/>
                <w:bCs/>
                <w:szCs w:val="21"/>
              </w:rPr>
            </w:pPr>
            <w:r>
              <w:rPr>
                <w:rFonts w:hint="eastAsia" w:ascii="宋体" w:hAnsi="宋体" w:eastAsia="宋体" w:cs="宋体"/>
                <w:b w:val="0"/>
                <w:bCs/>
                <w:szCs w:val="21"/>
              </w:rPr>
              <w:t>提供了《组织内外部环境因素识别表》：</w:t>
            </w:r>
          </w:p>
          <w:p>
            <w:pPr>
              <w:spacing w:line="360" w:lineRule="auto"/>
              <w:ind w:firstLine="420" w:firstLineChars="200"/>
              <w:rPr>
                <w:rFonts w:hint="eastAsia" w:ascii="宋体" w:hAnsi="宋体" w:eastAsia="宋体" w:cs="宋体"/>
                <w:b w:val="0"/>
                <w:bCs/>
                <w:szCs w:val="21"/>
              </w:rPr>
            </w:pPr>
            <w:r>
              <w:rPr>
                <w:rFonts w:hint="eastAsia" w:ascii="宋体" w:hAnsi="宋体" w:eastAsia="宋体" w:cs="宋体"/>
                <w:b w:val="0"/>
                <w:bCs/>
                <w:szCs w:val="21"/>
              </w:rPr>
              <w:t>内部环境：资源因素－公司提供符合音体美器材、教学仪器、课桌椅床、办公用品、书架、幼儿玩具（对儿童有危害的除外）的销售的场所，配备适宜的硬件和软件设施设备。信息来源：设施设备清单－具体现状描述：本公司设施设备可以确保音体美器材、教学仪器、课桌椅床、办公用品、书架、幼儿玩具（对儿童有危害的除外）的销售，基本的质量控制要求－SWOT分析：WT……</w:t>
            </w:r>
          </w:p>
          <w:p>
            <w:pPr>
              <w:spacing w:line="360" w:lineRule="auto"/>
              <w:ind w:firstLine="420" w:firstLineChars="200"/>
              <w:rPr>
                <w:rFonts w:hint="eastAsia" w:ascii="宋体" w:hAnsi="宋体" w:eastAsia="宋体" w:cs="宋体"/>
                <w:b w:val="0"/>
                <w:bCs/>
                <w:szCs w:val="21"/>
              </w:rPr>
            </w:pPr>
            <w:r>
              <w:rPr>
                <w:rFonts w:hint="eastAsia" w:ascii="宋体" w:hAnsi="宋体" w:eastAsia="宋体" w:cs="宋体"/>
                <w:b w:val="0"/>
                <w:bCs/>
                <w:szCs w:val="21"/>
              </w:rPr>
              <w:t>外部环境：竞争力－公司类别：音体美器材、教学仪器、课桌椅床、办公用品、书架、幼儿玩具（对儿童有危害的除外）的销售，当前市场占有率不高，其他类似企业比较多－信息来源：市场调查和分析－具体现状描述：本公司产品质量稳定，但在市场中同行也多，竞争压力大－SWOT分析：ST……</w:t>
            </w:r>
          </w:p>
          <w:p>
            <w:pPr>
              <w:spacing w:line="360" w:lineRule="auto"/>
              <w:ind w:firstLine="420" w:firstLineChars="200"/>
              <w:rPr>
                <w:rFonts w:hint="eastAsia" w:ascii="宋体" w:hAnsi="宋体" w:eastAsia="宋体" w:cs="宋体"/>
                <w:b w:val="0"/>
                <w:bCs/>
                <w:szCs w:val="21"/>
              </w:rPr>
            </w:pPr>
            <w:r>
              <w:rPr>
                <w:rFonts w:hint="eastAsia" w:ascii="宋体" w:hAnsi="宋体" w:eastAsia="宋体" w:cs="宋体"/>
                <w:b w:val="0"/>
                <w:bCs/>
                <w:szCs w:val="21"/>
              </w:rPr>
              <w:t>公司管理层已确定了外部和内部因素，已经对经营环境、内外部环境进行分析并提出对策，并进行了监视和评审。对职业健康安全管理体系进行了换版，实施开始时间：2019.9.12实施.</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除对新增新冠肺炎疫情的大环境识别外无大变化。</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2160" w:type="dxa"/>
            <w:vAlign w:val="center"/>
          </w:tcPr>
          <w:p>
            <w:pPr>
              <w:spacing w:line="360" w:lineRule="auto"/>
              <w:rPr>
                <w:rFonts w:hint="eastAsia" w:ascii="宋体" w:hAnsi="宋体" w:eastAsia="宋体" w:cs="宋体"/>
                <w:b w:val="0"/>
                <w:bCs/>
              </w:rPr>
            </w:pPr>
            <w:r>
              <w:rPr>
                <w:rFonts w:hint="eastAsia" w:ascii="宋体" w:hAnsi="宋体" w:eastAsia="宋体" w:cs="宋体"/>
                <w:b w:val="0"/>
                <w:bCs/>
              </w:rPr>
              <w:t>理解相关方的需求和期望</w:t>
            </w:r>
          </w:p>
        </w:tc>
        <w:tc>
          <w:tcPr>
            <w:tcW w:w="960" w:type="dxa"/>
            <w:vAlign w:val="center"/>
          </w:tcPr>
          <w:p>
            <w:pPr>
              <w:spacing w:line="360" w:lineRule="auto"/>
              <w:rPr>
                <w:rFonts w:hint="eastAsia" w:ascii="宋体" w:hAnsi="宋体" w:eastAsia="宋体" w:cs="宋体"/>
                <w:b w:val="0"/>
                <w:bCs/>
              </w:rPr>
            </w:pPr>
            <w:r>
              <w:rPr>
                <w:rFonts w:hint="eastAsia" w:ascii="宋体" w:hAnsi="宋体" w:eastAsia="宋体" w:cs="宋体"/>
                <w:b w:val="0"/>
                <w:bCs/>
                <w:sz w:val="21"/>
                <w:szCs w:val="21"/>
              </w:rPr>
              <w:t>QEO</w:t>
            </w:r>
            <w:r>
              <w:rPr>
                <w:rFonts w:hint="eastAsia" w:ascii="宋体" w:hAnsi="宋体" w:eastAsia="宋体" w:cs="宋体"/>
                <w:b w:val="0"/>
                <w:bCs/>
                <w:sz w:val="21"/>
                <w:szCs w:val="21"/>
                <w:lang w:val="en-US" w:eastAsia="zh-CN"/>
              </w:rPr>
              <w:t>:</w:t>
            </w:r>
            <w:r>
              <w:rPr>
                <w:rFonts w:hint="eastAsia" w:ascii="宋体" w:hAnsi="宋体" w:eastAsia="宋体" w:cs="宋体"/>
                <w:b w:val="0"/>
                <w:bCs/>
              </w:rPr>
              <w:t>4.2</w:t>
            </w:r>
          </w:p>
        </w:tc>
        <w:tc>
          <w:tcPr>
            <w:tcW w:w="10004" w:type="dxa"/>
            <w:vAlign w:val="center"/>
          </w:tcPr>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相关方包括顾客、所有者、组织中的成员、供应商、银行、工会、合伙人、竞争对手或社会团体或行业协会。在每年的管理评审前，由相关部门负责人进行识别并评估其适用性,具体部门及识别见管理评审输入。 主要顾客群：主要是教育局、学校等。</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相关方期望或要求监测与更新：管理者代表每年在管理评审前组织一次全面的内外部环境要素识别与评审。</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各部门在获得内外部环境要素信息变化时，应及时告知管理者代表，由管理者代表对《相关方期望或要求识别表》进行修订。</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管理评审前，管理者代表汇总企业内外部环境要素情况及相关方的期望与要求的相关资料，并提交管理评审。</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60" w:type="dxa"/>
            <w:vAlign w:val="center"/>
          </w:tcPr>
          <w:p>
            <w:pPr>
              <w:spacing w:line="360" w:lineRule="auto"/>
              <w:rPr>
                <w:rFonts w:hint="eastAsia" w:ascii="宋体" w:hAnsi="宋体" w:eastAsia="宋体" w:cs="宋体"/>
                <w:b w:val="0"/>
                <w:bCs/>
              </w:rPr>
            </w:pPr>
          </w:p>
          <w:p>
            <w:pPr>
              <w:spacing w:line="360" w:lineRule="auto"/>
              <w:rPr>
                <w:rFonts w:hint="eastAsia" w:ascii="宋体" w:hAnsi="宋体" w:eastAsia="宋体" w:cs="宋体"/>
                <w:b w:val="0"/>
                <w:bCs/>
              </w:rPr>
            </w:pPr>
          </w:p>
          <w:p>
            <w:pPr>
              <w:spacing w:line="360" w:lineRule="auto"/>
              <w:rPr>
                <w:rFonts w:hint="eastAsia" w:ascii="宋体" w:hAnsi="宋体" w:eastAsia="宋体" w:cs="宋体"/>
                <w:b w:val="0"/>
                <w:bCs/>
              </w:rPr>
            </w:pPr>
            <w:r>
              <w:rPr>
                <w:rFonts w:hint="eastAsia" w:ascii="宋体" w:hAnsi="宋体" w:eastAsia="宋体" w:cs="宋体"/>
                <w:b w:val="0"/>
                <w:bCs/>
              </w:rPr>
              <w:t>确定质量、环境和职业健康安全管理体系的范围</w:t>
            </w:r>
          </w:p>
          <w:p>
            <w:pPr>
              <w:spacing w:line="360" w:lineRule="auto"/>
              <w:rPr>
                <w:rFonts w:hint="eastAsia" w:ascii="宋体" w:hAnsi="宋体" w:eastAsia="宋体" w:cs="宋体"/>
                <w:b w:val="0"/>
                <w:bCs/>
              </w:rPr>
            </w:pPr>
            <w:r>
              <w:rPr>
                <w:rFonts w:hint="eastAsia" w:ascii="宋体" w:hAnsi="宋体" w:eastAsia="宋体" w:cs="宋体"/>
                <w:b w:val="0"/>
                <w:bCs/>
              </w:rPr>
              <w:t>总要求</w:t>
            </w:r>
          </w:p>
          <w:p>
            <w:pPr>
              <w:spacing w:line="360" w:lineRule="auto"/>
              <w:rPr>
                <w:rFonts w:hint="eastAsia" w:ascii="宋体" w:hAnsi="宋体" w:eastAsia="宋体" w:cs="宋体"/>
                <w:b w:val="0"/>
                <w:bCs/>
              </w:rPr>
            </w:pPr>
          </w:p>
        </w:tc>
        <w:tc>
          <w:tcPr>
            <w:tcW w:w="960" w:type="dxa"/>
            <w:vAlign w:val="center"/>
          </w:tcPr>
          <w:p>
            <w:pPr>
              <w:spacing w:line="360" w:lineRule="auto"/>
              <w:rPr>
                <w:rFonts w:hint="eastAsia" w:ascii="宋体" w:hAnsi="宋体" w:eastAsia="宋体" w:cs="宋体"/>
                <w:b w:val="0"/>
                <w:bCs/>
                <w:sz w:val="21"/>
                <w:szCs w:val="21"/>
              </w:rPr>
            </w:pPr>
          </w:p>
          <w:p>
            <w:pPr>
              <w:spacing w:line="360" w:lineRule="auto"/>
              <w:rPr>
                <w:rFonts w:hint="eastAsia" w:ascii="宋体" w:hAnsi="宋体" w:eastAsia="宋体" w:cs="宋体"/>
                <w:b w:val="0"/>
                <w:bCs/>
              </w:rPr>
            </w:pPr>
            <w:r>
              <w:rPr>
                <w:rFonts w:hint="eastAsia" w:ascii="宋体" w:hAnsi="宋体" w:eastAsia="宋体" w:cs="宋体"/>
                <w:b w:val="0"/>
                <w:bCs/>
                <w:sz w:val="21"/>
                <w:szCs w:val="21"/>
              </w:rPr>
              <w:t>QEO</w:t>
            </w:r>
            <w:r>
              <w:rPr>
                <w:rFonts w:hint="eastAsia" w:ascii="宋体" w:hAnsi="宋体" w:eastAsia="宋体" w:cs="宋体"/>
                <w:b w:val="0"/>
                <w:bCs/>
                <w:sz w:val="21"/>
                <w:szCs w:val="21"/>
                <w:lang w:val="en-US" w:eastAsia="zh-CN"/>
              </w:rPr>
              <w:t>:</w:t>
            </w:r>
            <w:r>
              <w:rPr>
                <w:rFonts w:hint="eastAsia" w:ascii="宋体" w:hAnsi="宋体" w:eastAsia="宋体" w:cs="宋体"/>
                <w:b w:val="0"/>
                <w:bCs/>
              </w:rPr>
              <w:t>4.3</w:t>
            </w:r>
          </w:p>
        </w:tc>
        <w:tc>
          <w:tcPr>
            <w:tcW w:w="10004" w:type="dxa"/>
            <w:vAlign w:val="center"/>
          </w:tcPr>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 xml:space="preserve">公司管理体系范围： </w:t>
            </w:r>
          </w:p>
          <w:p>
            <w:pPr>
              <w:spacing w:line="360" w:lineRule="auto"/>
              <w:ind w:firstLine="420" w:firstLineChars="200"/>
              <w:jc w:val="left"/>
              <w:rPr>
                <w:rFonts w:hint="eastAsia" w:ascii="宋体" w:hAnsi="宋体" w:eastAsia="宋体" w:cs="宋体"/>
                <w:b w:val="0"/>
                <w:bCs/>
                <w:szCs w:val="21"/>
              </w:rPr>
            </w:pPr>
            <w:r>
              <w:rPr>
                <w:rFonts w:hint="eastAsia" w:ascii="宋体" w:hAnsi="宋体" w:eastAsia="宋体" w:cs="宋体"/>
                <w:b w:val="0"/>
                <w:bCs/>
                <w:szCs w:val="21"/>
              </w:rPr>
              <w:t>QMS:</w:t>
            </w:r>
            <w:r>
              <w:rPr>
                <w:rFonts w:hint="eastAsia" w:ascii="宋体" w:hAnsi="宋体" w:eastAsia="宋体" w:cs="宋体"/>
                <w:b w:val="0"/>
                <w:bCs/>
                <w:kern w:val="0"/>
                <w:szCs w:val="21"/>
                <w:lang w:bidi="ar"/>
              </w:rPr>
              <w:t xml:space="preserve"> </w:t>
            </w:r>
            <w:r>
              <w:rPr>
                <w:rFonts w:hint="eastAsia" w:ascii="宋体" w:hAnsi="宋体" w:eastAsia="宋体" w:cs="宋体"/>
                <w:b w:val="0"/>
                <w:bCs/>
                <w:szCs w:val="21"/>
              </w:rPr>
              <w:t>音体美器材、教学仪器、课桌椅床、办公用品、书架、幼儿玩具（对儿童有危害的除外）的销售</w:t>
            </w:r>
          </w:p>
          <w:p>
            <w:pPr>
              <w:spacing w:line="360" w:lineRule="auto"/>
              <w:ind w:firstLine="420" w:firstLineChars="200"/>
              <w:jc w:val="left"/>
              <w:rPr>
                <w:rFonts w:hint="eastAsia" w:ascii="宋体" w:hAnsi="宋体" w:eastAsia="宋体" w:cs="宋体"/>
                <w:b w:val="0"/>
                <w:bCs/>
                <w:szCs w:val="21"/>
              </w:rPr>
            </w:pPr>
            <w:r>
              <w:rPr>
                <w:rFonts w:hint="eastAsia" w:ascii="宋体" w:hAnsi="宋体" w:eastAsia="宋体" w:cs="宋体"/>
                <w:b w:val="0"/>
                <w:bCs/>
                <w:szCs w:val="21"/>
              </w:rPr>
              <w:t>EMS: 音体美器材、教学仪器、课桌椅床、办公用品、书架、幼儿玩具（对儿童有危害的除外）的销售及相关环境管理活动</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szCs w:val="21"/>
              </w:rPr>
              <w:t>OHSMS: 音体美器材、教学仪器、课桌椅床、办公用品、书架、幼儿玩具（对儿童有危害的除外）的销售及相关职业健康安全管理活动</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 xml:space="preserve">根据企业产品和服务的特点，销售模式成熟，8.3为不适用条款，不适用理由合理。 </w:t>
            </w:r>
          </w:p>
          <w:p>
            <w:pPr>
              <w:spacing w:line="360" w:lineRule="auto"/>
              <w:rPr>
                <w:rFonts w:hint="eastAsia" w:ascii="宋体" w:hAnsi="宋体" w:eastAsia="宋体" w:cs="宋体"/>
                <w:b w:val="0"/>
                <w:bCs/>
              </w:rPr>
            </w:pPr>
            <w:r>
              <w:rPr>
                <w:rFonts w:hint="eastAsia" w:ascii="宋体" w:hAnsi="宋体" w:eastAsia="宋体" w:cs="宋体"/>
                <w:b w:val="0"/>
                <w:bCs/>
              </w:rPr>
              <w:t>对于企业的外包过程也进行了充分识别，就公司目前运营情况，企业暂无外包过程。</w:t>
            </w:r>
          </w:p>
          <w:p>
            <w:pPr>
              <w:spacing w:line="360" w:lineRule="auto"/>
              <w:rPr>
                <w:rFonts w:hint="eastAsia" w:ascii="宋体" w:hAnsi="宋体" w:eastAsia="宋体" w:cs="宋体"/>
                <w:b w:val="0"/>
                <w:bCs/>
              </w:rPr>
            </w:pPr>
            <w:r>
              <w:rPr>
                <w:rFonts w:hint="eastAsia" w:ascii="宋体" w:hAnsi="宋体" w:eastAsia="宋体" w:cs="宋体"/>
                <w:b w:val="0"/>
                <w:bCs/>
              </w:rPr>
              <w:t>无变化。</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2160" w:type="dxa"/>
            <w:vAlign w:val="center"/>
          </w:tcPr>
          <w:p>
            <w:pPr>
              <w:spacing w:line="360" w:lineRule="auto"/>
              <w:rPr>
                <w:rFonts w:hint="eastAsia" w:ascii="宋体" w:hAnsi="宋体" w:eastAsia="宋体" w:cs="宋体"/>
                <w:b w:val="0"/>
                <w:bCs/>
              </w:rPr>
            </w:pPr>
            <w:r>
              <w:rPr>
                <w:rFonts w:hint="eastAsia" w:ascii="宋体" w:hAnsi="宋体" w:eastAsia="宋体" w:cs="宋体"/>
                <w:b w:val="0"/>
                <w:bCs/>
              </w:rPr>
              <w:t>管理体系及其过程</w:t>
            </w:r>
          </w:p>
          <w:p>
            <w:pPr>
              <w:spacing w:line="360" w:lineRule="auto"/>
              <w:rPr>
                <w:rFonts w:hint="eastAsia" w:ascii="宋体" w:hAnsi="宋体" w:eastAsia="宋体" w:cs="宋体"/>
                <w:b w:val="0"/>
                <w:bCs/>
              </w:rPr>
            </w:pPr>
          </w:p>
        </w:tc>
        <w:tc>
          <w:tcPr>
            <w:tcW w:w="960" w:type="dxa"/>
            <w:vAlign w:val="center"/>
          </w:tcPr>
          <w:p>
            <w:pPr>
              <w:spacing w:line="360" w:lineRule="auto"/>
              <w:rPr>
                <w:rFonts w:hint="eastAsia" w:ascii="宋体" w:hAnsi="宋体" w:eastAsia="宋体" w:cs="宋体"/>
                <w:b w:val="0"/>
                <w:bCs/>
              </w:rPr>
            </w:pPr>
            <w:r>
              <w:rPr>
                <w:rFonts w:hint="eastAsia" w:ascii="宋体" w:hAnsi="宋体" w:eastAsia="宋体" w:cs="宋体"/>
                <w:b w:val="0"/>
                <w:bCs/>
                <w:sz w:val="21"/>
                <w:szCs w:val="21"/>
              </w:rPr>
              <w:t>QEO</w:t>
            </w:r>
            <w:r>
              <w:rPr>
                <w:rFonts w:hint="eastAsia" w:ascii="宋体" w:hAnsi="宋体" w:eastAsia="宋体" w:cs="宋体"/>
                <w:b w:val="0"/>
                <w:bCs/>
                <w:sz w:val="21"/>
                <w:szCs w:val="21"/>
                <w:lang w:val="en-US" w:eastAsia="zh-CN"/>
              </w:rPr>
              <w:t>:</w:t>
            </w:r>
            <w:r>
              <w:rPr>
                <w:rFonts w:hint="eastAsia" w:ascii="宋体" w:hAnsi="宋体" w:eastAsia="宋体" w:cs="宋体"/>
                <w:b w:val="0"/>
                <w:bCs/>
              </w:rPr>
              <w:t>4.4</w:t>
            </w:r>
          </w:p>
          <w:p>
            <w:pPr>
              <w:spacing w:line="360" w:lineRule="auto"/>
              <w:rPr>
                <w:rFonts w:hint="eastAsia" w:ascii="宋体" w:hAnsi="宋体" w:eastAsia="宋体" w:cs="宋体"/>
                <w:b w:val="0"/>
                <w:bCs/>
              </w:rPr>
            </w:pPr>
          </w:p>
        </w:tc>
        <w:tc>
          <w:tcPr>
            <w:tcW w:w="10004" w:type="dxa"/>
            <w:vAlign w:val="center"/>
          </w:tcPr>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组织于2019年9月12日依据：GB/T19001-2016idtISO9001:2015标准、GB/T 24001-2016 idt ISO 14001:2015标准和GB/T45001-2020 idt ISO45001:2018标准建立并正式实施管理体系。同时根据自身的实际情况和标准的要求组织工作人员编制了管理手册、作业文件和记录表格，制定了管理方针和管理目标。通过对过程监测结果进行分析，公司管理体系不断改进。</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 xml:space="preserve">确定了管理体系所需的过程，如文件与记录管理过程、合同评审过程、销售过程，并明确各过程的目标和职责，及各过程之间的衔接和影响。 </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出示有“部门管理目标策划记录”对管理目标完成情况进行检查、统计、记录。</w:t>
            </w:r>
          </w:p>
          <w:p>
            <w:pPr>
              <w:spacing w:line="360" w:lineRule="auto"/>
              <w:rPr>
                <w:rFonts w:hint="eastAsia" w:ascii="宋体" w:hAnsi="宋体" w:eastAsia="宋体" w:cs="宋体"/>
                <w:b w:val="0"/>
                <w:bCs/>
              </w:rPr>
            </w:pPr>
            <w:r>
              <w:rPr>
                <w:rFonts w:hint="eastAsia" w:ascii="宋体" w:hAnsi="宋体" w:eastAsia="宋体" w:cs="宋体"/>
                <w:b w:val="0"/>
                <w:bCs/>
              </w:rPr>
              <w:t>提供了支持过程策划和运行的形成文件的信息。</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hint="eastAsia" w:ascii="宋体" w:hAnsi="宋体" w:eastAsia="宋体" w:cs="宋体"/>
                <w:b w:val="0"/>
                <w:bCs/>
                <w:sz w:val="21"/>
                <w:szCs w:val="21"/>
              </w:rPr>
            </w:pPr>
            <w:r>
              <w:rPr>
                <w:rFonts w:hint="eastAsia" w:ascii="宋体" w:hAnsi="宋体" w:eastAsia="宋体" w:cs="宋体"/>
                <w:b w:val="0"/>
                <w:bCs/>
                <w:sz w:val="21"/>
                <w:szCs w:val="21"/>
              </w:rPr>
              <w:t>以顾客为关注焦点</w:t>
            </w:r>
          </w:p>
        </w:tc>
        <w:tc>
          <w:tcPr>
            <w:tcW w:w="960" w:type="dxa"/>
            <w:vAlign w:val="center"/>
          </w:tcPr>
          <w:p>
            <w:pPr>
              <w:spacing w:line="360" w:lineRule="auto"/>
              <w:rPr>
                <w:rFonts w:hint="eastAsia" w:ascii="宋体" w:hAnsi="宋体" w:eastAsia="宋体" w:cs="宋体"/>
                <w:b w:val="0"/>
                <w:bCs/>
                <w:sz w:val="21"/>
                <w:szCs w:val="21"/>
              </w:rPr>
            </w:pPr>
            <w:r>
              <w:rPr>
                <w:rFonts w:hint="eastAsia" w:ascii="宋体" w:hAnsi="宋体" w:eastAsia="宋体" w:cs="宋体"/>
                <w:b w:val="0"/>
                <w:bCs/>
                <w:sz w:val="21"/>
                <w:szCs w:val="21"/>
              </w:rPr>
              <w:t>Q</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5.1.2</w:t>
            </w:r>
          </w:p>
        </w:tc>
        <w:tc>
          <w:tcPr>
            <w:tcW w:w="10004" w:type="dxa"/>
            <w:vAlign w:val="center"/>
          </w:tcPr>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公司通过投标、市场调研等方式了解顾客的需求，确定他们关心的产品特性，特别是产品的关键特性。</w:t>
            </w:r>
          </w:p>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在确定顾客的需求和期望时，公司同时考虑与产品有关的义务（如安全的责任、环境保护要求等）和法律法规要求，并采取措施，使其得到落实。</w:t>
            </w:r>
          </w:p>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确定、理解并持续满足顾客要求以及适用的法律法规要求；</w:t>
            </w:r>
          </w:p>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确定和应对能够影响产品、服务符合性以及增强顾客满意能力的风险和机遇；</w:t>
            </w:r>
          </w:p>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通过定期对顾客满意度进行测量、售后服务了解顾客对产品的意见，始终致力于增强顾客满意。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2160" w:type="dxa"/>
            <w:vAlign w:val="center"/>
          </w:tcPr>
          <w:p>
            <w:pPr>
              <w:spacing w:line="360" w:lineRule="auto"/>
              <w:rPr>
                <w:rFonts w:hint="eastAsia" w:ascii="宋体" w:hAnsi="宋体" w:eastAsia="宋体" w:cs="宋体"/>
                <w:b w:val="0"/>
                <w:bCs/>
              </w:rPr>
            </w:pPr>
            <w:r>
              <w:rPr>
                <w:rFonts w:hint="eastAsia" w:ascii="宋体" w:hAnsi="宋体" w:eastAsia="宋体" w:cs="宋体"/>
                <w:b w:val="0"/>
                <w:bCs/>
                <w:lang w:val="en-US" w:eastAsia="zh-CN"/>
              </w:rPr>
              <w:t xml:space="preserve">  </w:t>
            </w:r>
            <w:r>
              <w:rPr>
                <w:rFonts w:hint="eastAsia" w:ascii="宋体" w:hAnsi="宋体" w:eastAsia="宋体" w:cs="宋体"/>
                <w:b w:val="0"/>
                <w:bCs/>
              </w:rPr>
              <w:t>方针</w:t>
            </w:r>
          </w:p>
          <w:p>
            <w:pPr>
              <w:spacing w:line="360" w:lineRule="auto"/>
              <w:rPr>
                <w:rFonts w:hint="eastAsia" w:ascii="宋体" w:hAnsi="宋体" w:eastAsia="宋体" w:cs="宋体"/>
                <w:b w:val="0"/>
                <w:bCs/>
              </w:rPr>
            </w:pPr>
          </w:p>
        </w:tc>
        <w:tc>
          <w:tcPr>
            <w:tcW w:w="960" w:type="dxa"/>
            <w:vAlign w:val="center"/>
          </w:tcPr>
          <w:p>
            <w:pPr>
              <w:spacing w:line="360" w:lineRule="auto"/>
              <w:rPr>
                <w:rFonts w:hint="eastAsia" w:ascii="宋体" w:hAnsi="宋体" w:eastAsia="宋体" w:cs="宋体"/>
                <w:b w:val="0"/>
                <w:bCs/>
              </w:rPr>
            </w:pPr>
            <w:r>
              <w:rPr>
                <w:rFonts w:hint="eastAsia" w:ascii="宋体" w:hAnsi="宋体" w:eastAsia="宋体" w:cs="宋体"/>
                <w:b w:val="0"/>
                <w:bCs/>
                <w:sz w:val="21"/>
                <w:szCs w:val="21"/>
              </w:rPr>
              <w:t>QEO</w:t>
            </w:r>
            <w:r>
              <w:rPr>
                <w:rFonts w:hint="eastAsia" w:ascii="宋体" w:hAnsi="宋体" w:eastAsia="宋体" w:cs="宋体"/>
                <w:b w:val="0"/>
                <w:bCs/>
                <w:sz w:val="21"/>
                <w:szCs w:val="21"/>
                <w:lang w:val="en-US" w:eastAsia="zh-CN"/>
              </w:rPr>
              <w:t>:</w:t>
            </w:r>
            <w:r>
              <w:rPr>
                <w:rFonts w:hint="eastAsia" w:ascii="宋体" w:hAnsi="宋体" w:eastAsia="宋体" w:cs="宋体"/>
                <w:b w:val="0"/>
                <w:bCs/>
              </w:rPr>
              <w:t>5.2</w:t>
            </w:r>
          </w:p>
          <w:p>
            <w:pPr>
              <w:spacing w:line="360" w:lineRule="auto"/>
              <w:rPr>
                <w:rFonts w:hint="eastAsia" w:ascii="宋体" w:hAnsi="宋体" w:eastAsia="宋体" w:cs="宋体"/>
                <w:b w:val="0"/>
                <w:bCs/>
              </w:rPr>
            </w:pPr>
          </w:p>
        </w:tc>
        <w:tc>
          <w:tcPr>
            <w:tcW w:w="10004" w:type="dxa"/>
            <w:vAlign w:val="center"/>
          </w:tcPr>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经充分考虑本组织特点，本组织管理方针为：</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“顾客第一、遵纪守法、服务周到、开拓创新、全员环保、保障健康、诚实守信、持续改进”公司通过各种宣传方式，将质量、环境和职业健康安全方针宣传到本公司各层次，确保方针得到正确的理解和实施。</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在每次管理评审会议上，总经理组织对方针的持续适宜性和有效性和充分性进行评审，并根据评审结果对其做出必要的调整。</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无变化。</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2160" w:type="dxa"/>
            <w:vAlign w:val="center"/>
          </w:tcPr>
          <w:p>
            <w:pPr>
              <w:spacing w:line="360" w:lineRule="auto"/>
              <w:rPr>
                <w:rFonts w:hint="eastAsia" w:ascii="宋体" w:hAnsi="宋体" w:eastAsia="宋体" w:cs="宋体"/>
                <w:b w:val="0"/>
                <w:bCs/>
                <w:szCs w:val="22"/>
              </w:rPr>
            </w:pPr>
            <w:r>
              <w:rPr>
                <w:rFonts w:hint="eastAsia" w:ascii="宋体" w:hAnsi="宋体" w:eastAsia="宋体" w:cs="宋体"/>
                <w:b w:val="0"/>
                <w:bCs/>
                <w:szCs w:val="22"/>
              </w:rPr>
              <w:t>组织的岗位、职责和权限</w:t>
            </w:r>
          </w:p>
        </w:tc>
        <w:tc>
          <w:tcPr>
            <w:tcW w:w="960" w:type="dxa"/>
            <w:vAlign w:val="center"/>
          </w:tcPr>
          <w:p>
            <w:pPr>
              <w:spacing w:line="360" w:lineRule="auto"/>
              <w:rPr>
                <w:rFonts w:hint="eastAsia" w:ascii="宋体" w:hAnsi="宋体" w:eastAsia="宋体" w:cs="宋体"/>
                <w:b w:val="0"/>
                <w:bCs/>
                <w:szCs w:val="22"/>
              </w:rPr>
            </w:pPr>
            <w:r>
              <w:rPr>
                <w:rFonts w:hint="eastAsia" w:ascii="宋体" w:hAnsi="宋体" w:eastAsia="宋体" w:cs="宋体"/>
                <w:b w:val="0"/>
                <w:bCs/>
                <w:szCs w:val="22"/>
              </w:rPr>
              <w:t>QEO</w:t>
            </w:r>
            <w:r>
              <w:rPr>
                <w:rFonts w:hint="eastAsia" w:ascii="宋体" w:hAnsi="宋体" w:eastAsia="宋体" w:cs="宋体"/>
                <w:b w:val="0"/>
                <w:bCs/>
                <w:szCs w:val="22"/>
                <w:lang w:val="en-US" w:eastAsia="zh-CN"/>
              </w:rPr>
              <w:t>:</w:t>
            </w:r>
            <w:r>
              <w:rPr>
                <w:rFonts w:hint="eastAsia" w:ascii="宋体" w:hAnsi="宋体" w:eastAsia="宋体" w:cs="宋体"/>
                <w:b w:val="0"/>
                <w:bCs/>
                <w:szCs w:val="22"/>
              </w:rPr>
              <w:t>5.3</w:t>
            </w:r>
          </w:p>
          <w:p>
            <w:pPr>
              <w:spacing w:line="360" w:lineRule="auto"/>
              <w:ind w:firstLine="420" w:firstLineChars="200"/>
              <w:rPr>
                <w:rFonts w:hint="eastAsia" w:ascii="宋体" w:hAnsi="宋体" w:eastAsia="宋体" w:cs="宋体"/>
                <w:b w:val="0"/>
                <w:bCs/>
                <w:szCs w:val="22"/>
              </w:rPr>
            </w:pPr>
          </w:p>
        </w:tc>
        <w:tc>
          <w:tcPr>
            <w:tcW w:w="10004" w:type="dxa"/>
            <w:vAlign w:val="center"/>
          </w:tcPr>
          <w:p>
            <w:pPr>
              <w:spacing w:line="360" w:lineRule="auto"/>
              <w:ind w:firstLine="420" w:firstLineChars="200"/>
              <w:rPr>
                <w:rFonts w:hint="eastAsia" w:ascii="宋体" w:hAnsi="宋体" w:eastAsia="宋体" w:cs="宋体"/>
                <w:b w:val="0"/>
                <w:bCs/>
                <w:szCs w:val="22"/>
              </w:rPr>
            </w:pPr>
            <w:r>
              <w:rPr>
                <w:rFonts w:hint="eastAsia" w:ascii="宋体" w:hAnsi="宋体" w:eastAsia="宋体" w:cs="宋体"/>
                <w:b w:val="0"/>
                <w:bCs/>
                <w:szCs w:val="22"/>
              </w:rPr>
              <w:t>公司设置了完善的组织结构，销售部、综合部，并规定了各级各岗位人员职责、权限和相互关系，并在公司内对各级员工进行了必要的传达。对从事与认证范围内有关的管理、执行和验证人员规定其职责、权限及其相互关系，并书面化，以实现公司管理方针和管理目标。有效进行质量、环境和职业健康安全管理体系各项活动，出示了公司管理体系职能分配表。</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hint="eastAsia" w:ascii="宋体" w:hAnsi="宋体" w:eastAsia="宋体" w:cs="宋体"/>
                <w:b w:val="0"/>
                <w:bCs/>
                <w:sz w:val="21"/>
                <w:szCs w:val="21"/>
              </w:rPr>
            </w:pPr>
            <w:r>
              <w:rPr>
                <w:rFonts w:hint="eastAsia" w:ascii="宋体" w:hAnsi="宋体" w:eastAsia="宋体" w:cs="宋体"/>
                <w:b w:val="0"/>
                <w:bCs/>
                <w:sz w:val="21"/>
                <w:szCs w:val="21"/>
              </w:rPr>
              <w:t>应对风险和机遇的措施</w:t>
            </w:r>
          </w:p>
        </w:tc>
        <w:tc>
          <w:tcPr>
            <w:tcW w:w="960" w:type="dxa"/>
            <w:vAlign w:val="center"/>
          </w:tcPr>
          <w:p>
            <w:pPr>
              <w:spacing w:line="360" w:lineRule="auto"/>
              <w:rPr>
                <w:rFonts w:hint="eastAsia" w:ascii="宋体" w:hAnsi="宋体" w:eastAsia="宋体" w:cs="宋体"/>
                <w:b w:val="0"/>
                <w:bCs/>
                <w:sz w:val="21"/>
                <w:szCs w:val="21"/>
              </w:rPr>
            </w:pPr>
            <w:r>
              <w:rPr>
                <w:rFonts w:hint="eastAsia" w:ascii="宋体" w:hAnsi="宋体" w:eastAsia="宋体" w:cs="宋体"/>
                <w:b w:val="0"/>
                <w:bCs/>
                <w:sz w:val="21"/>
                <w:szCs w:val="21"/>
              </w:rPr>
              <w:t>Q</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6.1</w:t>
            </w:r>
          </w:p>
          <w:p>
            <w:pPr>
              <w:pStyle w:val="2"/>
              <w:spacing w:line="360" w:lineRule="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EO： 6.1.1</w:t>
            </w:r>
          </w:p>
        </w:tc>
        <w:tc>
          <w:tcPr>
            <w:tcW w:w="10004" w:type="dxa"/>
            <w:vAlign w:val="center"/>
          </w:tcPr>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经与负责人交流，公司成立多年，公司积累了大量优质和长期客户；同时鉴于音体美器材、教学仪器、课桌椅床、办公用品、书架、幼儿玩具（对儿童有危害的除外）的销售市场竞争激烈，加上市场大环境的变化，这两年造成公司利润有所降低，公司采取做好内功，在内部加强管理的同时，提升企业资质，进一步扩大市场准入权。</w:t>
            </w:r>
          </w:p>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提供</w:t>
            </w:r>
            <w:r>
              <w:rPr>
                <w:rFonts w:hint="eastAsia" w:ascii="宋体" w:hAnsi="宋体" w:eastAsia="宋体" w:cs="宋体"/>
                <w:b w:val="0"/>
                <w:bCs/>
                <w:sz w:val="21"/>
                <w:szCs w:val="21"/>
              </w:rPr>
              <w:t>《风险和机遇评估分析表》明确了风险和机遇事件的识别方法/途径、风险和机遇的评估方式，对识别出的风险和机遇制定有效的应对措施；并评价这些措施有效性。</w:t>
            </w:r>
          </w:p>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如：客户开发、合同评审过程风险；</w:t>
            </w:r>
          </w:p>
          <w:p>
            <w:pPr>
              <w:pStyle w:val="13"/>
              <w:numPr>
                <w:ilvl w:val="0"/>
                <w:numId w:val="1"/>
              </w:numPr>
              <w:spacing w:line="360" w:lineRule="auto"/>
              <w:ind w:firstLineChars="0"/>
              <w:rPr>
                <w:rFonts w:hint="eastAsia" w:ascii="宋体" w:hAnsi="宋体" w:eastAsia="宋体" w:cs="宋体"/>
                <w:b w:val="0"/>
                <w:bCs/>
                <w:sz w:val="21"/>
                <w:szCs w:val="21"/>
              </w:rPr>
            </w:pPr>
            <w:r>
              <w:rPr>
                <w:rFonts w:hint="eastAsia" w:ascii="宋体" w:hAnsi="宋体" w:eastAsia="宋体" w:cs="宋体"/>
                <w:b w:val="0"/>
                <w:bCs/>
                <w:sz w:val="21"/>
                <w:szCs w:val="21"/>
              </w:rPr>
              <w:t>对市场需要音体美器材、教学仪器、课桌椅床、办公用品、书架、幼儿玩具（对儿童有危害的除外）的销售等的发展趋势判断失误。</w:t>
            </w:r>
          </w:p>
          <w:p>
            <w:pPr>
              <w:pStyle w:val="13"/>
              <w:numPr>
                <w:ilvl w:val="0"/>
                <w:numId w:val="1"/>
              </w:numPr>
              <w:spacing w:line="360" w:lineRule="auto"/>
              <w:ind w:firstLineChars="0"/>
              <w:rPr>
                <w:rFonts w:hint="eastAsia" w:ascii="宋体" w:hAnsi="宋体" w:eastAsia="宋体" w:cs="宋体"/>
                <w:b w:val="0"/>
                <w:bCs/>
                <w:sz w:val="21"/>
                <w:szCs w:val="21"/>
              </w:rPr>
            </w:pPr>
            <w:r>
              <w:rPr>
                <w:rFonts w:hint="eastAsia" w:ascii="宋体" w:hAnsi="宋体" w:eastAsia="宋体" w:cs="宋体"/>
                <w:b w:val="0"/>
                <w:bCs/>
                <w:sz w:val="21"/>
                <w:szCs w:val="21"/>
              </w:rPr>
              <w:t>客户要求识别不完整。</w:t>
            </w:r>
          </w:p>
          <w:p>
            <w:pPr>
              <w:pStyle w:val="13"/>
              <w:numPr>
                <w:ilvl w:val="0"/>
                <w:numId w:val="1"/>
              </w:numPr>
              <w:spacing w:line="360" w:lineRule="auto"/>
              <w:ind w:firstLineChars="0"/>
              <w:rPr>
                <w:rFonts w:hint="eastAsia" w:ascii="宋体" w:hAnsi="宋体" w:eastAsia="宋体" w:cs="宋体"/>
                <w:b w:val="0"/>
                <w:bCs/>
                <w:sz w:val="21"/>
                <w:szCs w:val="21"/>
              </w:rPr>
            </w:pPr>
            <w:r>
              <w:rPr>
                <w:rFonts w:hint="eastAsia" w:ascii="宋体" w:hAnsi="宋体" w:eastAsia="宋体" w:cs="宋体"/>
                <w:b w:val="0"/>
                <w:bCs/>
                <w:sz w:val="21"/>
                <w:szCs w:val="21"/>
              </w:rPr>
              <w:t>未能确保能够满足客户要求就签署合。风险级别：一般风险。</w:t>
            </w:r>
          </w:p>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措施：1.对市场需求音体美器材、教学仪器、课桌椅床、办公用品、书架、幼儿玩具（对儿童有危害的除外）的销售等的发展趋势分析应该经过反复论证。2.对客户的要求实施监视和测量。3.在确定与客户签署合同前落实合同评审事宜。</w:t>
            </w:r>
          </w:p>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相关文件：《服务要求控制程序》</w:t>
            </w:r>
          </w:p>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各部门根据本部门的活动、产品和服务过程，分析其风险和机遇，进行风险和机遇调查。</w:t>
            </w:r>
          </w:p>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音体美器材、教学仪器、课桌椅床、办公用品、书架、幼儿玩具（对儿童有危害的除外）的销售等交付</w:t>
            </w:r>
          </w:p>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风险：1不能按时交付。2.交付的音体美器材、教学仪器、课桌椅床、办公用品、书架、幼儿玩具（对儿童有危害的除外）的销售等不符合客户的要求</w:t>
            </w:r>
          </w:p>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措施：1销售计划管制。2.销售过程的服务控制。</w:t>
            </w:r>
          </w:p>
          <w:p>
            <w:pPr>
              <w:spacing w:line="360" w:lineRule="auto"/>
              <w:rPr>
                <w:rFonts w:hint="eastAsia" w:ascii="宋体" w:hAnsi="宋体" w:eastAsia="宋体" w:cs="宋体"/>
                <w:b w:val="0"/>
                <w:bCs/>
                <w:sz w:val="21"/>
                <w:szCs w:val="21"/>
              </w:rPr>
            </w:pPr>
            <w:r>
              <w:rPr>
                <w:rFonts w:hint="eastAsia" w:ascii="宋体" w:hAnsi="宋体" w:eastAsia="宋体" w:cs="宋体"/>
                <w:b w:val="0"/>
                <w:bCs/>
                <w:sz w:val="21"/>
                <w:szCs w:val="21"/>
              </w:rPr>
              <w:t>相关文件：1销售规范2.《不合格品控制程序》</w:t>
            </w:r>
          </w:p>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新冠肺炎感染，采取发放口罩等防护预防措施。</w:t>
            </w:r>
          </w:p>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综合部组织各部门相关人员对风险和机遇事件进行评估，确定公司的主要风险和机遇的事件，报总经理审核后确定控制措施。</w:t>
            </w:r>
          </w:p>
          <w:p>
            <w:pPr>
              <w:spacing w:line="360" w:lineRule="auto"/>
              <w:rPr>
                <w:rFonts w:hint="eastAsia" w:ascii="宋体" w:hAnsi="宋体" w:eastAsia="宋体" w:cs="宋体"/>
                <w:b w:val="0"/>
                <w:bCs/>
                <w:sz w:val="21"/>
                <w:szCs w:val="21"/>
              </w:rPr>
            </w:pPr>
            <w:r>
              <w:rPr>
                <w:rFonts w:hint="eastAsia" w:ascii="宋体" w:hAnsi="宋体" w:eastAsia="宋体" w:cs="宋体"/>
                <w:b w:val="0"/>
                <w:bCs/>
                <w:sz w:val="21"/>
                <w:szCs w:val="21"/>
              </w:rPr>
              <w:t>公司于</w:t>
            </w:r>
            <w:r>
              <w:rPr>
                <w:rFonts w:hint="eastAsia" w:ascii="宋体" w:hAnsi="宋体" w:eastAsia="宋体" w:cs="宋体"/>
                <w:b w:val="0"/>
                <w:bCs/>
                <w:color w:val="auto"/>
                <w:sz w:val="21"/>
                <w:szCs w:val="21"/>
              </w:rPr>
              <w:t>20</w:t>
            </w:r>
            <w:r>
              <w:rPr>
                <w:rFonts w:hint="eastAsia" w:ascii="宋体" w:hAnsi="宋体" w:cs="宋体"/>
                <w:b w:val="0"/>
                <w:bCs/>
                <w:color w:val="auto"/>
                <w:sz w:val="21"/>
                <w:szCs w:val="21"/>
                <w:lang w:val="en-US" w:eastAsia="zh-CN"/>
              </w:rPr>
              <w:t>20</w:t>
            </w:r>
            <w:r>
              <w:rPr>
                <w:rFonts w:hint="eastAsia" w:ascii="宋体" w:hAnsi="宋体" w:eastAsia="宋体" w:cs="宋体"/>
                <w:b w:val="0"/>
                <w:bCs/>
                <w:color w:val="auto"/>
                <w:sz w:val="21"/>
                <w:szCs w:val="21"/>
              </w:rPr>
              <w:t>.9.12</w:t>
            </w:r>
            <w:r>
              <w:rPr>
                <w:rFonts w:hint="eastAsia" w:ascii="宋体" w:hAnsi="宋体" w:eastAsia="宋体" w:cs="宋体"/>
                <w:b w:val="0"/>
                <w:bCs/>
                <w:sz w:val="21"/>
                <w:szCs w:val="21"/>
              </w:rPr>
              <w:t>对应对风险和机遇的措施进行了评价，目前措施有效。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2160" w:type="dxa"/>
            <w:vAlign w:val="center"/>
          </w:tcPr>
          <w:p>
            <w:r>
              <w:rPr>
                <w:rFonts w:hint="eastAsia"/>
                <w:szCs w:val="22"/>
              </w:rPr>
              <w:t>质量/环境/职业健康安全目标及其实现的策划</w:t>
            </w:r>
          </w:p>
        </w:tc>
        <w:tc>
          <w:tcPr>
            <w:tcW w:w="960" w:type="dxa"/>
            <w:vAlign w:val="center"/>
          </w:tcPr>
          <w:p>
            <w:pPr>
              <w:spacing w:line="360" w:lineRule="auto"/>
              <w:rPr>
                <w:rFonts w:hint="eastAsia" w:ascii="宋体" w:hAnsi="宋体" w:eastAsia="宋体" w:cs="宋体"/>
                <w:b w:val="0"/>
                <w:bCs w:val="0"/>
                <w:szCs w:val="22"/>
                <w:lang w:val="en-US" w:eastAsia="zh-CN"/>
              </w:rPr>
            </w:pPr>
            <w:r>
              <w:rPr>
                <w:rFonts w:hint="eastAsia" w:ascii="宋体" w:hAnsi="宋体" w:eastAsia="宋体" w:cs="宋体"/>
                <w:b w:val="0"/>
                <w:bCs w:val="0"/>
                <w:szCs w:val="22"/>
                <w:lang w:val="en-US" w:eastAsia="zh-CN"/>
              </w:rPr>
              <w:t>QEO：6.2</w:t>
            </w:r>
          </w:p>
          <w:p>
            <w:pPr>
              <w:spacing w:line="360" w:lineRule="auto"/>
              <w:rPr>
                <w:rFonts w:hint="eastAsia" w:ascii="宋体" w:hAnsi="宋体" w:eastAsia="宋体" w:cs="宋体"/>
                <w:b w:val="0"/>
                <w:bCs w:val="0"/>
              </w:rPr>
            </w:pPr>
          </w:p>
        </w:tc>
        <w:tc>
          <w:tcPr>
            <w:tcW w:w="10004" w:type="dxa"/>
            <w:vAlign w:val="center"/>
          </w:tcPr>
          <w:p>
            <w:pPr>
              <w:spacing w:line="360" w:lineRule="auto"/>
              <w:ind w:firstLine="420" w:firstLineChars="200"/>
              <w:rPr>
                <w:rFonts w:hint="eastAsia" w:ascii="宋体" w:hAnsi="宋体" w:eastAsia="宋体" w:cs="宋体"/>
                <w:b w:val="0"/>
                <w:bCs w:val="0"/>
              </w:rPr>
            </w:pPr>
            <w:r>
              <w:rPr>
                <w:rFonts w:hint="eastAsia" w:ascii="宋体" w:hAnsi="宋体" w:eastAsia="宋体" w:cs="宋体"/>
                <w:b w:val="0"/>
                <w:bCs w:val="0"/>
              </w:rPr>
              <w:t>总经理负责组织制定公司的管理目标，并在公司各部门进行分解，制定时考虑了公司的质量过程及其风险和机遇。</w:t>
            </w:r>
          </w:p>
          <w:p>
            <w:pPr>
              <w:spacing w:line="360" w:lineRule="auto"/>
              <w:ind w:firstLine="420" w:firstLineChars="200"/>
              <w:rPr>
                <w:rFonts w:hint="eastAsia" w:ascii="宋体" w:hAnsi="宋体" w:eastAsia="宋体" w:cs="宋体"/>
                <w:b w:val="0"/>
                <w:bCs w:val="0"/>
              </w:rPr>
            </w:pPr>
            <w:r>
              <w:rPr>
                <w:rFonts w:hint="eastAsia" w:ascii="宋体" w:hAnsi="宋体" w:eastAsia="宋体" w:cs="宋体"/>
                <w:b w:val="0"/>
                <w:bCs w:val="0"/>
              </w:rPr>
              <w:t xml:space="preserve">公司质量目标：                 完成情况 </w:t>
            </w:r>
          </w:p>
          <w:p>
            <w:pPr>
              <w:spacing w:line="360" w:lineRule="auto"/>
              <w:ind w:firstLine="420" w:firstLineChars="200"/>
              <w:rPr>
                <w:rFonts w:hint="eastAsia" w:ascii="宋体" w:hAnsi="宋体" w:eastAsia="宋体" w:cs="宋体"/>
                <w:b w:val="0"/>
                <w:bCs w:val="0"/>
              </w:rPr>
            </w:pPr>
            <w:r>
              <w:rPr>
                <w:rFonts w:hint="eastAsia" w:ascii="宋体" w:hAnsi="宋体" w:eastAsia="宋体" w:cs="宋体"/>
                <w:b w:val="0"/>
                <w:bCs w:val="0"/>
              </w:rPr>
              <w:t>产品一次交检合格率≥95％；       100%</w:t>
            </w:r>
          </w:p>
          <w:p>
            <w:pPr>
              <w:spacing w:line="360" w:lineRule="auto"/>
              <w:ind w:firstLine="420" w:firstLineChars="200"/>
              <w:rPr>
                <w:rFonts w:hint="eastAsia" w:ascii="宋体" w:hAnsi="宋体" w:eastAsia="宋体" w:cs="宋体"/>
                <w:b w:val="0"/>
                <w:bCs w:val="0"/>
              </w:rPr>
            </w:pPr>
            <w:r>
              <w:rPr>
                <w:rFonts w:hint="eastAsia" w:ascii="宋体" w:hAnsi="宋体" w:eastAsia="宋体" w:cs="宋体"/>
                <w:b w:val="0"/>
                <w:bCs w:val="0"/>
              </w:rPr>
              <w:t>顾客满意率≥90％。                98%</w:t>
            </w:r>
          </w:p>
          <w:p>
            <w:pPr>
              <w:spacing w:line="360" w:lineRule="auto"/>
              <w:ind w:firstLine="420" w:firstLineChars="200"/>
              <w:rPr>
                <w:rFonts w:hint="eastAsia" w:ascii="宋体" w:hAnsi="宋体" w:eastAsia="宋体" w:cs="宋体"/>
                <w:b w:val="0"/>
                <w:bCs w:val="0"/>
              </w:rPr>
            </w:pPr>
            <w:r>
              <w:rPr>
                <w:rFonts w:hint="eastAsia" w:ascii="宋体" w:hAnsi="宋体" w:eastAsia="宋体" w:cs="宋体"/>
                <w:b w:val="0"/>
                <w:bCs w:val="0"/>
              </w:rPr>
              <w:t xml:space="preserve">合同履约率100%                </w:t>
            </w:r>
            <w:r>
              <w:rPr>
                <w:rFonts w:hint="eastAsia" w:ascii="宋体" w:hAnsi="宋体" w:eastAsia="宋体" w:cs="宋体"/>
                <w:b w:val="0"/>
                <w:bCs w:val="0"/>
                <w:lang w:val="en-US" w:eastAsia="zh-CN"/>
              </w:rPr>
              <w:t xml:space="preserve">  </w:t>
            </w:r>
            <w:r>
              <w:rPr>
                <w:rFonts w:hint="eastAsia" w:ascii="宋体" w:hAnsi="宋体" w:eastAsia="宋体" w:cs="宋体"/>
                <w:b w:val="0"/>
                <w:bCs w:val="0"/>
              </w:rPr>
              <w:t xml:space="preserve"> 100% </w:t>
            </w:r>
          </w:p>
          <w:p>
            <w:pPr>
              <w:spacing w:line="360" w:lineRule="auto"/>
              <w:ind w:firstLine="382" w:firstLineChars="182"/>
              <w:jc w:val="both"/>
              <w:rPr>
                <w:rFonts w:hint="eastAsia" w:ascii="宋体" w:hAnsi="宋体" w:eastAsia="宋体" w:cs="宋体"/>
                <w:b w:val="0"/>
                <w:bCs w:val="0"/>
                <w:szCs w:val="24"/>
                <w:lang w:eastAsia="zh-CN"/>
              </w:rPr>
            </w:pPr>
            <w:r>
              <w:rPr>
                <w:rFonts w:hint="eastAsia" w:ascii="宋体" w:hAnsi="宋体" w:eastAsia="宋体" w:cs="宋体"/>
                <w:b w:val="0"/>
                <w:bCs w:val="0"/>
                <w:szCs w:val="24"/>
                <w:lang w:eastAsia="zh-CN"/>
              </w:rPr>
              <w:t xml:space="preserve">环境、职业健康安全目标：          </w:t>
            </w:r>
          </w:p>
          <w:p>
            <w:pPr>
              <w:spacing w:line="360" w:lineRule="auto"/>
              <w:ind w:firstLine="420" w:firstLineChars="200"/>
              <w:jc w:val="both"/>
              <w:rPr>
                <w:rFonts w:hint="eastAsia" w:ascii="宋体" w:hAnsi="宋体" w:eastAsia="宋体" w:cs="宋体"/>
                <w:b w:val="0"/>
                <w:bCs w:val="0"/>
                <w:szCs w:val="24"/>
                <w:lang w:eastAsia="zh-CN"/>
              </w:rPr>
            </w:pPr>
            <w:r>
              <w:rPr>
                <w:rFonts w:hint="eastAsia" w:ascii="宋体" w:hAnsi="宋体" w:eastAsia="宋体" w:cs="宋体"/>
                <w:b w:val="0"/>
                <w:bCs w:val="0"/>
                <w:szCs w:val="24"/>
                <w:lang w:eastAsia="zh-CN"/>
              </w:rPr>
              <w:t xml:space="preserve">固体废弃物处理有效率100%；      </w:t>
            </w:r>
            <w:r>
              <w:rPr>
                <w:rFonts w:hint="eastAsia" w:ascii="宋体" w:hAnsi="宋体" w:eastAsia="宋体" w:cs="宋体"/>
                <w:b w:val="0"/>
                <w:bCs w:val="0"/>
              </w:rPr>
              <w:t xml:space="preserve">100% </w:t>
            </w:r>
            <w:r>
              <w:rPr>
                <w:rFonts w:hint="eastAsia" w:ascii="宋体" w:hAnsi="宋体" w:eastAsia="宋体" w:cs="宋体"/>
                <w:b w:val="0"/>
                <w:bCs w:val="0"/>
                <w:szCs w:val="24"/>
                <w:lang w:eastAsia="zh-CN"/>
              </w:rPr>
              <w:t xml:space="preserve">          </w:t>
            </w:r>
          </w:p>
          <w:p>
            <w:pPr>
              <w:spacing w:line="360" w:lineRule="auto"/>
              <w:ind w:firstLine="420" w:firstLineChars="200"/>
              <w:rPr>
                <w:rFonts w:hint="eastAsia" w:ascii="宋体" w:hAnsi="宋体" w:eastAsia="宋体" w:cs="宋体"/>
                <w:b w:val="0"/>
                <w:bCs w:val="0"/>
                <w:lang w:val="en-US"/>
              </w:rPr>
            </w:pPr>
            <w:r>
              <w:rPr>
                <w:rFonts w:hint="eastAsia" w:ascii="宋体" w:hAnsi="宋体" w:eastAsia="宋体" w:cs="宋体"/>
                <w:b w:val="0"/>
                <w:bCs w:val="0"/>
                <w:szCs w:val="24"/>
                <w:lang w:eastAsia="zh-CN"/>
              </w:rPr>
              <w:t>火灾事故为零；</w:t>
            </w:r>
            <w:r>
              <w:rPr>
                <w:rFonts w:hint="eastAsia" w:ascii="宋体" w:hAnsi="宋体" w:eastAsia="宋体" w:cs="宋体"/>
                <w:b w:val="0"/>
                <w:bCs w:val="0"/>
                <w:szCs w:val="24"/>
                <w:lang w:val="en-US" w:eastAsia="zh-CN"/>
              </w:rPr>
              <w:t xml:space="preserve">                     0</w:t>
            </w:r>
          </w:p>
          <w:p>
            <w:pPr>
              <w:spacing w:line="360" w:lineRule="auto"/>
              <w:ind w:firstLine="420" w:firstLineChars="200"/>
              <w:rPr>
                <w:rFonts w:hint="eastAsia" w:ascii="宋体" w:hAnsi="宋体" w:eastAsia="宋体" w:cs="宋体"/>
                <w:b w:val="0"/>
                <w:bCs w:val="0"/>
              </w:rPr>
            </w:pPr>
            <w:r>
              <w:rPr>
                <w:rFonts w:hint="eastAsia" w:ascii="宋体" w:hAnsi="宋体" w:eastAsia="宋体" w:cs="宋体"/>
                <w:b w:val="0"/>
                <w:bCs w:val="0"/>
              </w:rPr>
              <w:t>以上目标指标均已完成，管理目标适宜。</w:t>
            </w:r>
          </w:p>
          <w:p>
            <w:pPr>
              <w:spacing w:line="360" w:lineRule="auto"/>
              <w:ind w:firstLine="420" w:firstLineChars="200"/>
              <w:rPr>
                <w:rFonts w:hint="eastAsia" w:ascii="宋体" w:hAnsi="宋体" w:eastAsia="宋体" w:cs="宋体"/>
                <w:b w:val="0"/>
                <w:bCs w:val="0"/>
              </w:rPr>
            </w:pPr>
            <w:r>
              <w:rPr>
                <w:rFonts w:hint="eastAsia" w:ascii="宋体" w:hAnsi="宋体" w:eastAsia="宋体" w:cs="宋体"/>
                <w:b w:val="0"/>
                <w:bCs w:val="0"/>
              </w:rPr>
              <w:t>提供《目标指标和管理方案》《目标指标和管理方案考核表》</w:t>
            </w:r>
          </w:p>
          <w:p>
            <w:pPr>
              <w:spacing w:line="360" w:lineRule="auto"/>
              <w:rPr>
                <w:rFonts w:hint="eastAsia" w:ascii="宋体" w:hAnsi="宋体" w:eastAsia="宋体" w:cs="宋体"/>
                <w:b w:val="0"/>
                <w:bCs w:val="0"/>
              </w:rPr>
            </w:pPr>
            <w:r>
              <w:rPr>
                <w:rFonts w:hint="eastAsia" w:ascii="宋体" w:hAnsi="宋体" w:eastAsia="宋体" w:cs="宋体"/>
                <w:b w:val="0"/>
                <w:bCs w:val="0"/>
              </w:rPr>
              <w:t>以上目标指标均已完成，管理方案规定了措施方法、完成时间表、责任人、资金等情况。目标指标和管理方案可行，在实施过程中。</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hint="eastAsia" w:ascii="宋体" w:hAnsi="宋体" w:eastAsia="宋体" w:cs="宋体"/>
                <w:b w:val="0"/>
                <w:bCs/>
                <w:sz w:val="21"/>
                <w:szCs w:val="21"/>
              </w:rPr>
            </w:pPr>
            <w:r>
              <w:rPr>
                <w:rFonts w:hint="eastAsia" w:ascii="宋体" w:hAnsi="宋体" w:eastAsia="宋体" w:cs="宋体"/>
                <w:b w:val="0"/>
                <w:bCs/>
                <w:sz w:val="21"/>
                <w:szCs w:val="21"/>
              </w:rPr>
              <w:t>变更的策划</w:t>
            </w:r>
          </w:p>
        </w:tc>
        <w:tc>
          <w:tcPr>
            <w:tcW w:w="960" w:type="dxa"/>
            <w:vAlign w:val="center"/>
          </w:tcPr>
          <w:p>
            <w:pPr>
              <w:spacing w:line="360" w:lineRule="auto"/>
              <w:rPr>
                <w:rFonts w:hint="eastAsia" w:ascii="宋体" w:hAnsi="宋体" w:eastAsia="宋体" w:cs="宋体"/>
                <w:b w:val="0"/>
                <w:bCs/>
                <w:sz w:val="21"/>
                <w:szCs w:val="21"/>
              </w:rPr>
            </w:pPr>
            <w:r>
              <w:rPr>
                <w:rFonts w:hint="eastAsia" w:ascii="宋体" w:hAnsi="宋体" w:eastAsia="宋体" w:cs="宋体"/>
                <w:b w:val="0"/>
                <w:bCs/>
                <w:sz w:val="21"/>
                <w:szCs w:val="21"/>
              </w:rPr>
              <w:t>Q6.3</w:t>
            </w:r>
          </w:p>
        </w:tc>
        <w:tc>
          <w:tcPr>
            <w:tcW w:w="10004" w:type="dxa"/>
            <w:vAlign w:val="center"/>
          </w:tcPr>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企业有通过管理评审，内部审核结果，过程业绩分析，监视、测量、分析、评价等收集可能发生的变更信息，当组织内外环境、客户及利益相关方的需求、企业经营等方面发生重大变化，具体包括服务质量监视和测量过程中持续未达到预期结果、组织机构变化、重大人员调整、持续的经营亏损等情况下，需要对体系进行变更。</w:t>
            </w:r>
          </w:p>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企业有充分识别潜在的变更需求，并确保在必要时做出相应的变更。</w:t>
            </w:r>
          </w:p>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受审核方明确了变更评估及实施的流程，即当发生变更时，确定变更的目的、考虑变更的潜在后果，质量、环境和职业健康安全管理体系的完整性，识别变更的风险和机遇，确定资源的可获得性并制定应对措施，责任和权限的分配或再分配。</w:t>
            </w:r>
          </w:p>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要求对变更前、变更中、变更后的全过程实施监控，并组织对变更的有效性进行评价，确保质量、环境和职业健康安全管理体系的完整性。</w:t>
            </w:r>
          </w:p>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除职业健康安全管理体系换版，暂无变更情况发生。</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2160" w:type="dxa"/>
            <w:vAlign w:val="center"/>
          </w:tcPr>
          <w:p>
            <w:pPr>
              <w:spacing w:line="360" w:lineRule="auto"/>
              <w:rPr>
                <w:rFonts w:hint="eastAsia" w:ascii="宋体" w:hAnsi="宋体" w:eastAsia="宋体" w:cs="宋体"/>
                <w:b w:val="0"/>
                <w:bCs/>
              </w:rPr>
            </w:pPr>
            <w:r>
              <w:rPr>
                <w:rFonts w:hint="eastAsia" w:ascii="宋体" w:hAnsi="宋体" w:eastAsia="宋体" w:cs="宋体"/>
                <w:b w:val="0"/>
                <w:bCs/>
              </w:rPr>
              <w:t>资源-总则</w:t>
            </w:r>
          </w:p>
        </w:tc>
        <w:tc>
          <w:tcPr>
            <w:tcW w:w="960" w:type="dxa"/>
            <w:vAlign w:val="center"/>
          </w:tcPr>
          <w:p>
            <w:pPr>
              <w:spacing w:line="360" w:lineRule="auto"/>
              <w:rPr>
                <w:rFonts w:hint="eastAsia" w:ascii="宋体" w:hAnsi="宋体" w:eastAsia="宋体" w:cs="宋体"/>
                <w:b w:val="0"/>
                <w:bCs/>
                <w:lang w:eastAsia="zh-CN"/>
              </w:rPr>
            </w:pPr>
            <w:r>
              <w:rPr>
                <w:rFonts w:hint="eastAsia" w:ascii="宋体" w:hAnsi="宋体" w:eastAsia="宋体" w:cs="宋体"/>
                <w:b w:val="0"/>
                <w:bCs/>
              </w:rPr>
              <w:t>QE</w:t>
            </w:r>
            <w:r>
              <w:rPr>
                <w:rFonts w:hint="eastAsia" w:ascii="宋体" w:hAnsi="宋体" w:eastAsia="宋体" w:cs="宋体"/>
                <w:b w:val="0"/>
                <w:bCs/>
                <w:lang w:eastAsia="zh-CN"/>
              </w:rPr>
              <w:t>：</w:t>
            </w:r>
          </w:p>
          <w:p>
            <w:pPr>
              <w:spacing w:line="360" w:lineRule="auto"/>
              <w:rPr>
                <w:rFonts w:hint="eastAsia" w:ascii="宋体" w:hAnsi="宋体" w:eastAsia="宋体" w:cs="宋体"/>
                <w:b w:val="0"/>
                <w:bCs/>
              </w:rPr>
            </w:pPr>
            <w:r>
              <w:rPr>
                <w:rFonts w:hint="eastAsia" w:ascii="宋体" w:hAnsi="宋体" w:eastAsia="宋体" w:cs="宋体"/>
                <w:b w:val="0"/>
                <w:bCs/>
              </w:rPr>
              <w:t>7.1.1</w:t>
            </w:r>
          </w:p>
        </w:tc>
        <w:tc>
          <w:tcPr>
            <w:tcW w:w="10004" w:type="dxa"/>
            <w:vAlign w:val="center"/>
          </w:tcPr>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公司根据公司销售运行需要，配备了各岗位所需人员、经营用房屋、销售设备、办公设备（电脑、打印机、办公桌椅等）、监视和测量资源、消防器材、劳动防护用品、经营运行资金等资源，体系建立至今，未发生资源不足影响满足客户要求的现象。基本无大变化。</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hint="eastAsia" w:ascii="宋体" w:hAnsi="宋体" w:eastAsia="宋体" w:cs="宋体"/>
                <w:b w:val="0"/>
                <w:bCs/>
              </w:rPr>
            </w:pPr>
            <w:r>
              <w:rPr>
                <w:rFonts w:hint="eastAsia" w:ascii="宋体" w:hAnsi="宋体" w:eastAsia="宋体" w:cs="宋体"/>
                <w:b w:val="0"/>
                <w:bCs/>
              </w:rPr>
              <w:t>绩效测量和监视</w:t>
            </w:r>
          </w:p>
        </w:tc>
        <w:tc>
          <w:tcPr>
            <w:tcW w:w="960" w:type="dxa"/>
            <w:vAlign w:val="center"/>
          </w:tcPr>
          <w:p>
            <w:pPr>
              <w:spacing w:line="360" w:lineRule="auto"/>
              <w:rPr>
                <w:rFonts w:hint="eastAsia" w:ascii="宋体" w:hAnsi="宋体" w:eastAsia="宋体" w:cs="宋体"/>
                <w:b w:val="0"/>
                <w:bCs/>
              </w:rPr>
            </w:pPr>
            <w:r>
              <w:rPr>
                <w:rFonts w:hint="eastAsia" w:ascii="宋体" w:hAnsi="宋体" w:eastAsia="宋体" w:cs="宋体"/>
                <w:b w:val="0"/>
                <w:bCs/>
              </w:rPr>
              <w:t>QE</w:t>
            </w:r>
          </w:p>
          <w:p>
            <w:pPr>
              <w:spacing w:line="360" w:lineRule="auto"/>
              <w:rPr>
                <w:rFonts w:hint="eastAsia" w:ascii="宋体" w:hAnsi="宋体" w:eastAsia="宋体" w:cs="宋体"/>
                <w:b w:val="0"/>
                <w:bCs/>
              </w:rPr>
            </w:pPr>
            <w:r>
              <w:rPr>
                <w:rFonts w:hint="eastAsia" w:ascii="宋体" w:hAnsi="宋体" w:eastAsia="宋体" w:cs="宋体"/>
                <w:b w:val="0"/>
                <w:bCs/>
              </w:rPr>
              <w:t>9.1.1</w:t>
            </w:r>
          </w:p>
          <w:p>
            <w:pPr>
              <w:spacing w:line="360" w:lineRule="auto"/>
              <w:rPr>
                <w:rFonts w:hint="eastAsia" w:ascii="宋体" w:hAnsi="宋体" w:eastAsia="宋体" w:cs="宋体"/>
                <w:b w:val="0"/>
                <w:bCs/>
              </w:rPr>
            </w:pPr>
          </w:p>
        </w:tc>
        <w:tc>
          <w:tcPr>
            <w:tcW w:w="10004" w:type="dxa"/>
            <w:vAlign w:val="center"/>
          </w:tcPr>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公司编制了《顾客满意度调查控制程序》对销售服务的质量特性进行监视和测量，以验证其符合要求的程度，确保服务符合要求。</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公司制定《不合格输出控制程序》，为保证公司质量、环境和职业健康安全管理体系的有效运行，通过对管理绩效的监视与测量，确保体系运行的有效性。</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查阅“部门管理目标策划及考核记录表”，体系建立至今共进行了两个季度的管理目标指标的检查考核工作，均完成目标考核要求。</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公司不需要对质量影响的运行的关键特性进行监测和测量的设备。</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spacing w:line="360" w:lineRule="auto"/>
              <w:rPr>
                <w:rFonts w:hint="eastAsia" w:ascii="宋体" w:hAnsi="宋体" w:eastAsia="宋体" w:cs="宋体"/>
                <w:b w:val="0"/>
                <w:bCs/>
              </w:rPr>
            </w:pPr>
            <w:r>
              <w:rPr>
                <w:rFonts w:hint="eastAsia" w:ascii="宋体" w:hAnsi="宋体" w:eastAsia="宋体" w:cs="宋体"/>
                <w:b w:val="0"/>
                <w:bCs/>
              </w:rPr>
              <w:t>管理评审</w:t>
            </w:r>
          </w:p>
        </w:tc>
        <w:tc>
          <w:tcPr>
            <w:tcW w:w="960" w:type="dxa"/>
            <w:vAlign w:val="center"/>
          </w:tcPr>
          <w:p>
            <w:pPr>
              <w:spacing w:line="360" w:lineRule="auto"/>
              <w:rPr>
                <w:rFonts w:hint="eastAsia" w:ascii="宋体" w:hAnsi="宋体" w:eastAsia="宋体" w:cs="宋体"/>
                <w:b w:val="0"/>
                <w:bCs/>
              </w:rPr>
            </w:pPr>
            <w:r>
              <w:rPr>
                <w:rFonts w:hint="eastAsia" w:ascii="宋体" w:hAnsi="宋体" w:eastAsia="宋体" w:cs="宋体"/>
                <w:b w:val="0"/>
                <w:bCs/>
              </w:rPr>
              <w:t>QE</w:t>
            </w:r>
            <w:r>
              <w:rPr>
                <w:rFonts w:hint="eastAsia" w:ascii="宋体" w:hAnsi="宋体" w:eastAsia="宋体" w:cs="宋体"/>
                <w:b w:val="0"/>
                <w:bCs/>
                <w:lang w:val="en-US" w:eastAsia="zh-CN"/>
              </w:rPr>
              <w:t>O：</w:t>
            </w:r>
            <w:r>
              <w:rPr>
                <w:rFonts w:hint="eastAsia" w:ascii="宋体" w:hAnsi="宋体" w:eastAsia="宋体" w:cs="宋体"/>
                <w:b w:val="0"/>
                <w:bCs/>
              </w:rPr>
              <w:t>9.3</w:t>
            </w:r>
          </w:p>
        </w:tc>
        <w:tc>
          <w:tcPr>
            <w:tcW w:w="10004" w:type="dxa"/>
            <w:vAlign w:val="center"/>
          </w:tcPr>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公司于</w:t>
            </w:r>
            <w:r>
              <w:rPr>
                <w:rFonts w:hint="eastAsia" w:ascii="宋体" w:hAnsi="宋体" w:cs="宋体"/>
                <w:color w:val="auto"/>
                <w:sz w:val="21"/>
                <w:szCs w:val="21"/>
              </w:rPr>
              <w:t>202</w:t>
            </w:r>
            <w:r>
              <w:rPr>
                <w:rFonts w:hint="eastAsia" w:ascii="宋体" w:hAnsi="宋体" w:cs="宋体"/>
                <w:color w:val="auto"/>
                <w:sz w:val="21"/>
                <w:szCs w:val="21"/>
                <w:lang w:val="en-US" w:eastAsia="zh-CN"/>
              </w:rPr>
              <w:t>1</w:t>
            </w:r>
            <w:r>
              <w:rPr>
                <w:rFonts w:hint="eastAsia" w:ascii="宋体" w:hAnsi="宋体" w:cs="宋体"/>
                <w:color w:val="auto"/>
                <w:sz w:val="21"/>
                <w:szCs w:val="21"/>
              </w:rPr>
              <w:t>年0</w:t>
            </w:r>
            <w:r>
              <w:rPr>
                <w:rFonts w:hint="eastAsia" w:ascii="宋体" w:hAnsi="宋体" w:cs="宋体"/>
                <w:color w:val="auto"/>
                <w:sz w:val="21"/>
                <w:szCs w:val="21"/>
                <w:lang w:val="en-US" w:eastAsia="zh-CN"/>
              </w:rPr>
              <w:t>4</w:t>
            </w:r>
            <w:r>
              <w:rPr>
                <w:rFonts w:hint="eastAsia" w:ascii="宋体" w:hAnsi="宋体" w:cs="宋体"/>
                <w:color w:val="auto"/>
                <w:sz w:val="21"/>
                <w:szCs w:val="21"/>
              </w:rPr>
              <w:t>月</w:t>
            </w:r>
            <w:r>
              <w:rPr>
                <w:rFonts w:hint="eastAsia" w:ascii="宋体" w:hAnsi="宋体" w:cs="宋体"/>
                <w:color w:val="auto"/>
                <w:sz w:val="21"/>
                <w:szCs w:val="21"/>
                <w:lang w:val="en-US" w:eastAsia="zh-CN"/>
              </w:rPr>
              <w:t>15</w:t>
            </w:r>
            <w:r>
              <w:rPr>
                <w:rFonts w:hint="eastAsia" w:ascii="宋体" w:hAnsi="宋体" w:cs="宋体"/>
                <w:color w:val="auto"/>
                <w:sz w:val="21"/>
                <w:szCs w:val="21"/>
              </w:rPr>
              <w:t>日</w:t>
            </w:r>
            <w:r>
              <w:rPr>
                <w:rFonts w:hint="eastAsia" w:ascii="宋体" w:hAnsi="宋体" w:eastAsia="宋体" w:cs="宋体"/>
                <w:b w:val="0"/>
                <w:bCs/>
              </w:rPr>
              <w:t>依据：GB/T19001-2016标准、GB/T 24001-2016 idt ISO 14001:2015标准和GB/T45001-2020 idt ISO45001:2018标准进行管理评审。目前正标准要求平稳运行，至今暂无变更情况发生。</w:t>
            </w:r>
          </w:p>
          <w:p>
            <w:pPr>
              <w:spacing w:line="360" w:lineRule="auto"/>
              <w:rPr>
                <w:rFonts w:hint="eastAsia" w:ascii="宋体" w:hAnsi="宋体" w:eastAsia="宋体" w:cs="宋体"/>
                <w:b w:val="0"/>
                <w:bCs/>
              </w:rPr>
            </w:pPr>
            <w:r>
              <w:rPr>
                <w:rFonts w:hint="eastAsia" w:ascii="宋体" w:hAnsi="宋体" w:eastAsia="宋体" w:cs="宋体"/>
                <w:b w:val="0"/>
                <w:bCs/>
              </w:rPr>
              <w:t>查阅公司管理评审资料：</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一、管理评审计划，评审时间：</w:t>
            </w:r>
            <w:r>
              <w:rPr>
                <w:rFonts w:hint="eastAsia" w:ascii="宋体" w:hAnsi="宋体" w:cs="宋体"/>
                <w:color w:val="auto"/>
                <w:sz w:val="21"/>
                <w:szCs w:val="21"/>
              </w:rPr>
              <w:t>202</w:t>
            </w:r>
            <w:r>
              <w:rPr>
                <w:rFonts w:hint="eastAsia" w:ascii="宋体" w:hAnsi="宋体" w:cs="宋体"/>
                <w:color w:val="auto"/>
                <w:sz w:val="21"/>
                <w:szCs w:val="21"/>
                <w:lang w:val="en-US" w:eastAsia="zh-CN"/>
              </w:rPr>
              <w:t>1</w:t>
            </w:r>
            <w:r>
              <w:rPr>
                <w:rFonts w:hint="eastAsia" w:ascii="宋体" w:hAnsi="宋体" w:cs="宋体"/>
                <w:color w:val="auto"/>
                <w:sz w:val="21"/>
                <w:szCs w:val="21"/>
              </w:rPr>
              <w:t>年0</w:t>
            </w:r>
            <w:r>
              <w:rPr>
                <w:rFonts w:hint="eastAsia" w:ascii="宋体" w:hAnsi="宋体" w:cs="宋体"/>
                <w:color w:val="auto"/>
                <w:sz w:val="21"/>
                <w:szCs w:val="21"/>
                <w:lang w:val="en-US" w:eastAsia="zh-CN"/>
              </w:rPr>
              <w:t>4</w:t>
            </w:r>
            <w:r>
              <w:rPr>
                <w:rFonts w:hint="eastAsia" w:ascii="宋体" w:hAnsi="宋体" w:cs="宋体"/>
                <w:color w:val="auto"/>
                <w:sz w:val="21"/>
                <w:szCs w:val="21"/>
              </w:rPr>
              <w:t>月</w:t>
            </w:r>
            <w:r>
              <w:rPr>
                <w:rFonts w:hint="eastAsia" w:ascii="宋体" w:hAnsi="宋体" w:cs="宋体"/>
                <w:color w:val="auto"/>
                <w:sz w:val="21"/>
                <w:szCs w:val="21"/>
                <w:lang w:val="en-US" w:eastAsia="zh-CN"/>
              </w:rPr>
              <w:t>15</w:t>
            </w:r>
            <w:r>
              <w:rPr>
                <w:rFonts w:hint="eastAsia" w:ascii="宋体" w:hAnsi="宋体" w:cs="宋体"/>
                <w:color w:val="auto"/>
                <w:sz w:val="21"/>
                <w:szCs w:val="21"/>
              </w:rPr>
              <w:t>日</w:t>
            </w:r>
            <w:r>
              <w:rPr>
                <w:rFonts w:hint="eastAsia" w:ascii="宋体" w:hAnsi="宋体" w:eastAsia="宋体" w:cs="宋体"/>
                <w:b w:val="0"/>
                <w:bCs/>
              </w:rPr>
              <w:t>评审方式：会议评审</w:t>
            </w:r>
          </w:p>
          <w:p>
            <w:pPr>
              <w:spacing w:line="360" w:lineRule="auto"/>
              <w:rPr>
                <w:rFonts w:hint="eastAsia" w:ascii="宋体" w:hAnsi="宋体" w:eastAsia="宋体" w:cs="宋体"/>
                <w:b w:val="0"/>
                <w:bCs/>
              </w:rPr>
            </w:pPr>
            <w:r>
              <w:rPr>
                <w:rFonts w:hint="eastAsia" w:ascii="宋体" w:hAnsi="宋体" w:eastAsia="宋体" w:cs="宋体"/>
                <w:b w:val="0"/>
                <w:bCs/>
              </w:rPr>
              <w:t>参加人员：部门负责人等。计划中明确了评审内容和资料准备要求。</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二、管理评审输入：</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方针目标适宜性、管理目标的实现程度、体系策划和运行情况、可能的变更、外部供方的绩效、内审情况、顾客满意情况及纠正措施完成情况，应对风险和机遇所采取措施的有效性以及改进的建议等。</w:t>
            </w:r>
          </w:p>
          <w:p>
            <w:pPr>
              <w:spacing w:line="360" w:lineRule="auto"/>
              <w:rPr>
                <w:rFonts w:hint="eastAsia" w:ascii="宋体" w:hAnsi="宋体" w:eastAsia="宋体" w:cs="宋体"/>
                <w:b w:val="0"/>
                <w:bCs/>
              </w:rPr>
            </w:pPr>
            <w:r>
              <w:rPr>
                <w:rFonts w:hint="eastAsia" w:ascii="宋体" w:hAnsi="宋体" w:eastAsia="宋体" w:cs="宋体"/>
                <w:b w:val="0"/>
                <w:bCs/>
              </w:rPr>
              <w:t>以上内容可通过会上口头发言及工作总结、汇报等形式体现。</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三、查看“管理评审报告”，报告中对本次管理评审做了总结，评价了公司建立、运行管理体系的效果。</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四、管理评审输出/评审结论：</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经过评审认为：本公司质量、环境和职业健康安全管理体系是符合标准的、是符合我公司实际的、是可行的、是有效的、充分的、适宜的。质量方针、质量目标是适宜的。</w:t>
            </w:r>
          </w:p>
          <w:p>
            <w:pPr>
              <w:spacing w:line="360" w:lineRule="auto"/>
              <w:ind w:firstLine="420" w:firstLineChars="200"/>
              <w:rPr>
                <w:rFonts w:hint="eastAsia" w:ascii="宋体" w:hAnsi="宋体" w:eastAsia="宋体" w:cs="宋体"/>
                <w:b w:val="0"/>
                <w:bCs/>
                <w:color w:val="FF0000"/>
              </w:rPr>
            </w:pPr>
            <w:r>
              <w:rPr>
                <w:rFonts w:hint="eastAsia" w:ascii="宋体" w:hAnsi="宋体" w:eastAsia="宋体" w:cs="宋体"/>
                <w:b w:val="0"/>
                <w:bCs/>
              </w:rPr>
              <w:t>编制：张平  批准：张荣才</w:t>
            </w:r>
            <w:r>
              <w:rPr>
                <w:rFonts w:hint="eastAsia" w:ascii="宋体" w:hAnsi="宋体" w:eastAsia="宋体" w:cs="宋体"/>
                <w:b w:val="0"/>
                <w:bCs/>
                <w:lang w:eastAsia="zh-CN"/>
              </w:rPr>
              <w:t>，</w:t>
            </w:r>
            <w:r>
              <w:rPr>
                <w:rFonts w:hint="eastAsia" w:ascii="宋体" w:hAnsi="宋体" w:eastAsia="宋体" w:cs="宋体"/>
                <w:b w:val="0"/>
                <w:bCs/>
                <w:color w:val="auto"/>
              </w:rPr>
              <w:t>202</w:t>
            </w:r>
            <w:r>
              <w:rPr>
                <w:rFonts w:hint="eastAsia" w:ascii="宋体" w:hAnsi="宋体" w:cs="宋体"/>
                <w:b w:val="0"/>
                <w:bCs/>
                <w:color w:val="auto"/>
                <w:lang w:val="en-US" w:eastAsia="zh-CN"/>
              </w:rPr>
              <w:t>1</w:t>
            </w:r>
            <w:r>
              <w:rPr>
                <w:rFonts w:hint="eastAsia" w:ascii="宋体" w:hAnsi="宋体" w:eastAsia="宋体" w:cs="宋体"/>
                <w:b w:val="0"/>
                <w:bCs/>
                <w:color w:val="auto"/>
              </w:rPr>
              <w:t>年</w:t>
            </w:r>
            <w:r>
              <w:rPr>
                <w:rFonts w:hint="eastAsia" w:ascii="宋体" w:hAnsi="宋体" w:cs="宋体"/>
                <w:b w:val="0"/>
                <w:bCs/>
                <w:color w:val="auto"/>
                <w:lang w:val="en-US" w:eastAsia="zh-CN"/>
              </w:rPr>
              <w:t>4</w:t>
            </w:r>
            <w:r>
              <w:rPr>
                <w:rFonts w:hint="eastAsia" w:ascii="宋体" w:hAnsi="宋体" w:eastAsia="宋体" w:cs="宋体"/>
                <w:b w:val="0"/>
                <w:bCs/>
                <w:color w:val="auto"/>
              </w:rPr>
              <w:t>月1</w:t>
            </w:r>
            <w:r>
              <w:rPr>
                <w:rFonts w:hint="eastAsia" w:ascii="宋体" w:hAnsi="宋体" w:cs="宋体"/>
                <w:b w:val="0"/>
                <w:bCs/>
                <w:color w:val="auto"/>
                <w:lang w:val="en-US" w:eastAsia="zh-CN"/>
              </w:rPr>
              <w:t>5</w:t>
            </w:r>
            <w:r>
              <w:rPr>
                <w:rFonts w:hint="eastAsia" w:ascii="宋体" w:hAnsi="宋体" w:eastAsia="宋体" w:cs="宋体"/>
                <w:b w:val="0"/>
                <w:bCs/>
                <w:color w:val="auto"/>
              </w:rPr>
              <w:t>日</w:t>
            </w:r>
            <w:bookmarkStart w:id="0" w:name="_GoBack"/>
            <w:bookmarkEnd w:id="0"/>
          </w:p>
          <w:p>
            <w:pPr>
              <w:spacing w:line="360" w:lineRule="auto"/>
              <w:rPr>
                <w:rFonts w:hint="eastAsia" w:ascii="宋体" w:hAnsi="宋体" w:eastAsia="宋体" w:cs="宋体"/>
                <w:b w:val="0"/>
                <w:bCs/>
              </w:rPr>
            </w:pPr>
            <w:r>
              <w:rPr>
                <w:rFonts w:hint="eastAsia" w:ascii="宋体" w:hAnsi="宋体" w:eastAsia="宋体" w:cs="宋体"/>
                <w:b w:val="0"/>
                <w:bCs/>
              </w:rPr>
              <w:t>管理评审改进决议：</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在质量、环境和职业健康安全管理体系推行运作时，质量、环境和职业健康安全管理体系推行还存在不少待改进之处，主要有以下几点：</w:t>
            </w:r>
          </w:p>
          <w:p>
            <w:pPr>
              <w:spacing w:line="360" w:lineRule="auto"/>
              <w:rPr>
                <w:rFonts w:hint="eastAsia" w:ascii="宋体" w:hAnsi="宋体" w:eastAsia="宋体" w:cs="宋体"/>
                <w:b w:val="0"/>
                <w:bCs/>
              </w:rPr>
            </w:pPr>
            <w:r>
              <w:rPr>
                <w:rFonts w:hint="eastAsia" w:ascii="宋体" w:hAnsi="宋体" w:eastAsia="宋体" w:cs="宋体"/>
                <w:b w:val="0"/>
                <w:bCs/>
              </w:rPr>
              <w:t>1.</w:t>
            </w:r>
            <w:r>
              <w:rPr>
                <w:rFonts w:hint="eastAsia" w:ascii="宋体" w:hAnsi="宋体" w:eastAsia="宋体" w:cs="宋体"/>
                <w:b w:val="0"/>
                <w:bCs/>
              </w:rPr>
              <w:tab/>
            </w:r>
            <w:r>
              <w:rPr>
                <w:rFonts w:hint="eastAsia" w:ascii="宋体" w:hAnsi="宋体" w:eastAsia="宋体" w:cs="宋体"/>
                <w:b w:val="0"/>
                <w:bCs/>
              </w:rPr>
              <w:t>招聘新员工2名；</w:t>
            </w:r>
          </w:p>
          <w:p>
            <w:pPr>
              <w:spacing w:line="360" w:lineRule="auto"/>
              <w:rPr>
                <w:rFonts w:hint="eastAsia" w:ascii="宋体" w:hAnsi="宋体" w:eastAsia="宋体" w:cs="宋体"/>
                <w:b w:val="0"/>
                <w:bCs/>
              </w:rPr>
            </w:pPr>
            <w:r>
              <w:rPr>
                <w:rFonts w:hint="eastAsia" w:ascii="宋体" w:hAnsi="宋体" w:eastAsia="宋体" w:cs="宋体"/>
                <w:b w:val="0"/>
                <w:bCs/>
              </w:rPr>
              <w:t>2.</w:t>
            </w:r>
            <w:r>
              <w:rPr>
                <w:rFonts w:hint="eastAsia" w:ascii="宋体" w:hAnsi="宋体" w:eastAsia="宋体" w:cs="宋体"/>
                <w:b w:val="0"/>
                <w:bCs/>
              </w:rPr>
              <w:tab/>
            </w:r>
            <w:r>
              <w:rPr>
                <w:rFonts w:hint="eastAsia" w:ascii="宋体" w:hAnsi="宋体" w:eastAsia="宋体" w:cs="宋体"/>
                <w:b w:val="0"/>
                <w:bCs/>
              </w:rPr>
              <w:t>加强员工销售能力考核，加大管理过程式监测力度；</w:t>
            </w:r>
            <w:r>
              <w:rPr>
                <w:rFonts w:hint="eastAsia" w:ascii="宋体" w:hAnsi="宋体" w:eastAsia="宋体" w:cs="宋体"/>
                <w:b w:val="0"/>
                <w:bCs/>
                <w:color w:val="auto"/>
              </w:rPr>
              <w:t>202</w:t>
            </w:r>
            <w:r>
              <w:rPr>
                <w:rFonts w:hint="eastAsia" w:ascii="宋体" w:hAnsi="宋体" w:cs="宋体"/>
                <w:b w:val="0"/>
                <w:bCs/>
                <w:color w:val="auto"/>
                <w:lang w:val="en-US" w:eastAsia="zh-CN"/>
              </w:rPr>
              <w:t>1</w:t>
            </w:r>
            <w:r>
              <w:rPr>
                <w:rFonts w:hint="eastAsia" w:ascii="宋体" w:hAnsi="宋体" w:eastAsia="宋体" w:cs="宋体"/>
                <w:b w:val="0"/>
                <w:bCs/>
                <w:color w:val="auto"/>
              </w:rPr>
              <w:t>年</w:t>
            </w:r>
            <w:r>
              <w:rPr>
                <w:rFonts w:hint="eastAsia" w:ascii="宋体" w:hAnsi="宋体" w:cs="宋体"/>
                <w:b w:val="0"/>
                <w:bCs/>
                <w:color w:val="auto"/>
                <w:lang w:val="en-US" w:eastAsia="zh-CN"/>
              </w:rPr>
              <w:t>12</w:t>
            </w:r>
            <w:r>
              <w:rPr>
                <w:rFonts w:hint="eastAsia" w:ascii="宋体" w:hAnsi="宋体" w:eastAsia="宋体" w:cs="宋体"/>
                <w:b w:val="0"/>
                <w:bCs/>
                <w:color w:val="auto"/>
              </w:rPr>
              <w:t>月</w:t>
            </w:r>
            <w:r>
              <w:rPr>
                <w:rFonts w:hint="eastAsia" w:ascii="宋体" w:hAnsi="宋体" w:eastAsia="宋体" w:cs="宋体"/>
                <w:b w:val="0"/>
                <w:bCs/>
              </w:rPr>
              <w:t>实施完成。抽措施完成情况，已制定计划，正在实施过程中。上年度管理评审改进措施有效。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2160" w:type="dxa"/>
            <w:vAlign w:val="center"/>
          </w:tcPr>
          <w:p>
            <w:pPr>
              <w:spacing w:line="360" w:lineRule="auto"/>
              <w:rPr>
                <w:rFonts w:hint="eastAsia" w:ascii="宋体" w:hAnsi="宋体" w:eastAsia="宋体" w:cs="宋体"/>
                <w:b w:val="0"/>
                <w:bCs/>
              </w:rPr>
            </w:pPr>
            <w:r>
              <w:rPr>
                <w:rFonts w:hint="eastAsia" w:ascii="宋体" w:hAnsi="宋体" w:eastAsia="宋体" w:cs="宋体"/>
                <w:b w:val="0"/>
                <w:bCs/>
              </w:rPr>
              <w:t>体系的运行现状及改进的要求</w:t>
            </w:r>
          </w:p>
        </w:tc>
        <w:tc>
          <w:tcPr>
            <w:tcW w:w="960" w:type="dxa"/>
            <w:vAlign w:val="center"/>
          </w:tcPr>
          <w:p>
            <w:pPr>
              <w:spacing w:line="360" w:lineRule="auto"/>
              <w:rPr>
                <w:rFonts w:hint="eastAsia" w:ascii="宋体" w:hAnsi="宋体" w:eastAsia="宋体" w:cs="宋体"/>
                <w:b w:val="0"/>
                <w:bCs/>
                <w:lang w:val="en-US" w:eastAsia="zh-CN"/>
              </w:rPr>
            </w:pPr>
            <w:r>
              <w:rPr>
                <w:rFonts w:hint="eastAsia" w:ascii="宋体" w:hAnsi="宋体" w:eastAsia="宋体" w:cs="宋体"/>
                <w:b w:val="0"/>
                <w:bCs/>
              </w:rPr>
              <w:t>QE</w:t>
            </w:r>
            <w:r>
              <w:rPr>
                <w:rFonts w:hint="eastAsia" w:ascii="宋体" w:hAnsi="宋体" w:eastAsia="宋体" w:cs="宋体"/>
                <w:b w:val="0"/>
                <w:bCs/>
                <w:lang w:val="en-US" w:eastAsia="zh-CN"/>
              </w:rPr>
              <w:t>O：</w:t>
            </w:r>
          </w:p>
          <w:p>
            <w:pPr>
              <w:spacing w:line="360" w:lineRule="auto"/>
              <w:rPr>
                <w:rFonts w:hint="eastAsia" w:ascii="宋体" w:hAnsi="宋体" w:eastAsia="宋体" w:cs="宋体"/>
                <w:b w:val="0"/>
                <w:bCs/>
              </w:rPr>
            </w:pPr>
            <w:r>
              <w:rPr>
                <w:rFonts w:hint="eastAsia" w:ascii="宋体" w:hAnsi="宋体" w:eastAsia="宋体" w:cs="宋体"/>
                <w:b w:val="0"/>
                <w:bCs/>
              </w:rPr>
              <w:t>10.1</w:t>
            </w:r>
          </w:p>
        </w:tc>
        <w:tc>
          <w:tcPr>
            <w:tcW w:w="10004" w:type="dxa"/>
            <w:vAlign w:val="center"/>
          </w:tcPr>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企业自体系建立以来，通过内审的改进、管理评审；纠正措施的实施、顾客满意度调查等措施，采取了具体的改进措施。基本符合要求。</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总经理通过建立管理方针和目标，并鼓励员工提合理化建议，营造了一个激励改进的氛围，通过管理目标的建立与考核，明确了改进、努 力的方向，通过销售服务以满足需求，通过内审、管理评审、 数据分析与实施纠正和纠正措施，建立一个自我完善、持续改进的机制，不断改进体系绩效和有效性。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160" w:type="dxa"/>
            <w:vAlign w:val="center"/>
          </w:tcPr>
          <w:p>
            <w:pPr>
              <w:spacing w:line="360" w:lineRule="auto"/>
              <w:rPr>
                <w:rFonts w:hint="eastAsia" w:ascii="宋体" w:hAnsi="宋体" w:eastAsia="宋体" w:cs="宋体"/>
                <w:b w:val="0"/>
                <w:bCs/>
              </w:rPr>
            </w:pPr>
            <w:r>
              <w:rPr>
                <w:rFonts w:hint="eastAsia" w:ascii="宋体" w:hAnsi="宋体" w:eastAsia="宋体" w:cs="宋体"/>
                <w:b w:val="0"/>
                <w:bCs/>
              </w:rPr>
              <w:t>持续改进</w:t>
            </w:r>
          </w:p>
        </w:tc>
        <w:tc>
          <w:tcPr>
            <w:tcW w:w="960" w:type="dxa"/>
            <w:vAlign w:val="center"/>
          </w:tcPr>
          <w:p>
            <w:pPr>
              <w:spacing w:line="360" w:lineRule="auto"/>
              <w:rPr>
                <w:rFonts w:hint="eastAsia" w:ascii="宋体" w:hAnsi="宋体" w:eastAsia="宋体" w:cs="宋体"/>
                <w:b w:val="0"/>
                <w:bCs/>
                <w:lang w:val="en-US" w:eastAsia="zh-CN"/>
              </w:rPr>
            </w:pPr>
            <w:r>
              <w:rPr>
                <w:rFonts w:hint="eastAsia" w:ascii="宋体" w:hAnsi="宋体" w:eastAsia="宋体" w:cs="宋体"/>
                <w:b w:val="0"/>
                <w:bCs/>
              </w:rPr>
              <w:t>QE</w:t>
            </w:r>
            <w:r>
              <w:rPr>
                <w:rFonts w:hint="eastAsia" w:ascii="宋体" w:hAnsi="宋体" w:eastAsia="宋体" w:cs="宋体"/>
                <w:b w:val="0"/>
                <w:bCs/>
                <w:lang w:val="en-US" w:eastAsia="zh-CN"/>
              </w:rPr>
              <w:t>O:</w:t>
            </w:r>
          </w:p>
          <w:p>
            <w:pPr>
              <w:spacing w:line="360" w:lineRule="auto"/>
              <w:rPr>
                <w:rFonts w:hint="eastAsia" w:ascii="宋体" w:hAnsi="宋体" w:eastAsia="宋体" w:cs="宋体"/>
                <w:b w:val="0"/>
                <w:bCs/>
              </w:rPr>
            </w:pPr>
            <w:r>
              <w:rPr>
                <w:rFonts w:hint="eastAsia" w:ascii="宋体" w:hAnsi="宋体" w:eastAsia="宋体" w:cs="宋体"/>
                <w:b w:val="0"/>
                <w:bCs/>
              </w:rPr>
              <w:t>10.3</w:t>
            </w:r>
          </w:p>
        </w:tc>
        <w:tc>
          <w:tcPr>
            <w:tcW w:w="10004" w:type="dxa"/>
            <w:vAlign w:val="center"/>
          </w:tcPr>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公司规定了纠正措施的来源,明确了对不合格项应进行原因分析,制定纠正措施计划,实施跟踪验证,确保所采取 的纠正措施满足预期要求。建立《事故事件调查处理控制程序》、《纠正控制程序》、《改进控制程序》</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对以上不合格品采取退货处置，对其进行原因分析并采取纠正措施，经主管经理验收，有效。</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内审中发现的不符合项已经采取纠正措施，整改完毕且有效。</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通过交谈，基本能清楚纠正和预防措施的控制要求。符合要求。</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改进的示例包括纠正、纠正措施、持续改进、突变、创新或重组。</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为确保公司提供给客户合格的产品和服务，公司开展检查和考核工作。</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根据不同过程、不同产品和不同要求，采取不同的方法进行监视、测量和分析。</w:t>
            </w:r>
          </w:p>
          <w:p>
            <w:pPr>
              <w:spacing w:line="360" w:lineRule="auto"/>
              <w:ind w:firstLine="420" w:firstLineChars="200"/>
              <w:rPr>
                <w:rFonts w:hint="eastAsia" w:ascii="宋体" w:hAnsi="宋体" w:eastAsia="宋体" w:cs="宋体"/>
                <w:b w:val="0"/>
                <w:bCs/>
              </w:rPr>
            </w:pPr>
            <w:r>
              <w:rPr>
                <w:rFonts w:hint="eastAsia" w:ascii="宋体" w:hAnsi="宋体" w:eastAsia="宋体" w:cs="宋体"/>
                <w:b w:val="0"/>
                <w:bCs/>
              </w:rPr>
              <w:t>公司利用质量方针、目标、内审和外审、数据分析、纠正和预防措施以及管理评审，识别任何改进的机会，持续改进质量、环境和职业健康安全管理体系的适宜性、充分性和有效性。</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trPr>
        <w:tc>
          <w:tcPr>
            <w:tcW w:w="2160" w:type="dxa"/>
            <w:vAlign w:val="top"/>
          </w:tcPr>
          <w:p>
            <w:pPr>
              <w:snapToGrid w:val="0"/>
              <w:spacing w:line="360" w:lineRule="auto"/>
              <w:ind w:firstLine="420" w:firstLineChars="20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标准/规范/法规的执行情况、上次审核不符合项的验证、认证证书、标志的使用情况、投诉或事故、监督抽查情况、体系变动</w:t>
            </w:r>
          </w:p>
        </w:tc>
        <w:tc>
          <w:tcPr>
            <w:tcW w:w="960" w:type="dxa"/>
            <w:vAlign w:val="top"/>
          </w:tcPr>
          <w:p>
            <w:pPr>
              <w:snapToGrid w:val="0"/>
              <w:spacing w:line="360" w:lineRule="auto"/>
              <w:ind w:firstLine="420" w:firstLineChars="200"/>
              <w:rPr>
                <w:rFonts w:hint="eastAsia" w:ascii="宋体" w:hAnsi="宋体" w:eastAsia="宋体" w:cs="宋体"/>
                <w:color w:val="000000"/>
                <w:kern w:val="2"/>
                <w:sz w:val="21"/>
                <w:szCs w:val="21"/>
                <w:lang w:val="en-US" w:eastAsia="zh-CN" w:bidi="ar-SA"/>
              </w:rPr>
            </w:pPr>
          </w:p>
        </w:tc>
        <w:tc>
          <w:tcPr>
            <w:tcW w:w="10004" w:type="dxa"/>
            <w:vAlign w:val="top"/>
          </w:tcPr>
          <w:p>
            <w:pPr>
              <w:snapToGrid w:val="0"/>
              <w:spacing w:line="360" w:lineRule="auto"/>
              <w:ind w:firstLine="420" w:firstLineChars="20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公司执行 GB/T19001-2016/ISO 9001:2015、GB/T24001-2016/ISO 14001:2015及GB/T45001—2020/ISO 45001:2018标准，遵守与企业相关的法律法规和地方政策，产品</w:t>
            </w:r>
            <w:r>
              <w:rPr>
                <w:rFonts w:hint="eastAsia" w:ascii="宋体" w:hAnsi="宋体" w:eastAsia="宋体" w:cs="宋体"/>
                <w:color w:val="000000"/>
                <w:sz w:val="21"/>
                <w:szCs w:val="21"/>
                <w:lang w:val="en-US" w:eastAsia="zh-CN"/>
              </w:rPr>
              <w:t>执行企业标准</w:t>
            </w:r>
            <w:r>
              <w:rPr>
                <w:rFonts w:hint="eastAsia" w:ascii="宋体" w:hAnsi="宋体" w:eastAsia="宋体" w:cs="宋体"/>
                <w:color w:val="000000"/>
                <w:sz w:val="21"/>
                <w:szCs w:val="21"/>
              </w:rPr>
              <w:t>；上次审核</w:t>
            </w:r>
            <w:r>
              <w:rPr>
                <w:rFonts w:hint="eastAsia" w:ascii="宋体" w:hAnsi="宋体" w:cs="宋体"/>
                <w:color w:val="000000"/>
                <w:sz w:val="21"/>
                <w:szCs w:val="21"/>
                <w:lang w:val="en-US" w:eastAsia="zh-CN"/>
              </w:rPr>
              <w:t>未</w:t>
            </w:r>
            <w:r>
              <w:rPr>
                <w:rFonts w:hint="eastAsia" w:ascii="宋体" w:hAnsi="宋体" w:eastAsia="宋体" w:cs="宋体"/>
                <w:color w:val="000000"/>
                <w:sz w:val="21"/>
                <w:szCs w:val="21"/>
              </w:rPr>
              <w:t>发现</w:t>
            </w:r>
            <w:r>
              <w:rPr>
                <w:rFonts w:hint="eastAsia" w:ascii="宋体" w:hAnsi="宋体" w:eastAsia="宋体" w:cs="宋体"/>
                <w:color w:val="000000"/>
                <w:sz w:val="21"/>
                <w:szCs w:val="21"/>
                <w:lang w:val="en-US" w:eastAsia="zh-CN"/>
              </w:rPr>
              <w:t>的</w:t>
            </w:r>
            <w:r>
              <w:rPr>
                <w:rFonts w:hint="eastAsia" w:ascii="宋体" w:hAnsi="宋体" w:eastAsia="宋体" w:cs="宋体"/>
                <w:color w:val="000000"/>
                <w:sz w:val="21"/>
                <w:szCs w:val="21"/>
              </w:rPr>
              <w:t>一般不符合项。认证证书主要为企业招投标使用，产品、包装上未使用相关标志；目前为止</w:t>
            </w:r>
            <w:r>
              <w:rPr>
                <w:rFonts w:hint="eastAsia" w:ascii="宋体" w:hAnsi="宋体" w:eastAsia="宋体" w:cs="宋体"/>
                <w:color w:val="000000"/>
                <w:sz w:val="21"/>
                <w:szCs w:val="21"/>
                <w:lang w:val="en-US" w:eastAsia="zh-CN"/>
              </w:rPr>
              <w:t>未</w:t>
            </w:r>
            <w:r>
              <w:rPr>
                <w:rFonts w:hint="eastAsia" w:ascii="宋体" w:hAnsi="宋体" w:eastAsia="宋体" w:cs="宋体"/>
                <w:color w:val="000000"/>
                <w:sz w:val="21"/>
                <w:szCs w:val="21"/>
              </w:rPr>
              <w:t>发生顾客投诉和事故情况；体系运行正常没有变动。</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160" w:type="dxa"/>
            <w:vAlign w:val="top"/>
          </w:tcPr>
          <w:p>
            <w:pPr>
              <w:snapToGrid w:val="0"/>
              <w:spacing w:line="360" w:lineRule="auto"/>
              <w:ind w:firstLine="420" w:firstLineChars="20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国家/地方抽查、顾客满意、相关方投诉处理</w:t>
            </w:r>
          </w:p>
        </w:tc>
        <w:tc>
          <w:tcPr>
            <w:tcW w:w="960" w:type="dxa"/>
            <w:vAlign w:val="top"/>
          </w:tcPr>
          <w:p>
            <w:pPr>
              <w:snapToGrid w:val="0"/>
              <w:spacing w:line="360" w:lineRule="auto"/>
              <w:ind w:firstLine="420" w:firstLineChars="200"/>
              <w:rPr>
                <w:rFonts w:hint="eastAsia" w:ascii="宋体" w:hAnsi="宋体" w:eastAsia="宋体" w:cs="宋体"/>
                <w:color w:val="000000"/>
                <w:kern w:val="2"/>
                <w:sz w:val="21"/>
                <w:szCs w:val="21"/>
                <w:lang w:val="en-US" w:eastAsia="zh-CN" w:bidi="ar-SA"/>
              </w:rPr>
            </w:pPr>
          </w:p>
        </w:tc>
        <w:tc>
          <w:tcPr>
            <w:tcW w:w="10004" w:type="dxa"/>
            <w:vAlign w:val="top"/>
          </w:tcPr>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自公司成立以来，未受到上级主管部门有关质量、环境问题、职业健康安全的行政处罚。未发生相关方的投诉。</w:t>
            </w:r>
          </w:p>
          <w:p>
            <w:pPr>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暂时没有国家/地方抽查情况。</w:t>
            </w:r>
          </w:p>
          <w:p>
            <w:pPr>
              <w:snapToGrid w:val="0"/>
              <w:spacing w:line="360" w:lineRule="auto"/>
              <w:ind w:firstLine="420" w:firstLineChars="20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目前没有相关行政主管部门的检查处罚，在审核现场也未发现抽查、相关方投诉等情况。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0" w:type="auto"/>
            <w:vAlign w:val="top"/>
          </w:tcPr>
          <w:p>
            <w:pPr>
              <w:snapToGrid w:val="0"/>
              <w:spacing w:line="360" w:lineRule="auto"/>
              <w:ind w:firstLine="420" w:firstLineChars="20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验证资质</w:t>
            </w:r>
          </w:p>
        </w:tc>
        <w:tc>
          <w:tcPr>
            <w:tcW w:w="0" w:type="auto"/>
            <w:vAlign w:val="top"/>
          </w:tcPr>
          <w:p>
            <w:pPr>
              <w:snapToGrid w:val="0"/>
              <w:spacing w:line="360" w:lineRule="auto"/>
              <w:ind w:firstLine="420" w:firstLineChars="200"/>
              <w:rPr>
                <w:rFonts w:hint="eastAsia" w:ascii="宋体" w:hAnsi="宋体" w:eastAsia="宋体" w:cs="宋体"/>
                <w:color w:val="000000"/>
                <w:kern w:val="2"/>
                <w:sz w:val="21"/>
                <w:szCs w:val="21"/>
                <w:lang w:val="en-US" w:eastAsia="zh-CN" w:bidi="ar-SA"/>
              </w:rPr>
            </w:pPr>
          </w:p>
        </w:tc>
        <w:tc>
          <w:tcPr>
            <w:tcW w:w="0" w:type="auto"/>
            <w:vAlign w:val="top"/>
          </w:tcPr>
          <w:p>
            <w:pPr>
              <w:snapToGrid w:val="0"/>
              <w:spacing w:line="360" w:lineRule="auto"/>
              <w:ind w:firstLine="420" w:firstLineChars="20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提供了组织营业执照有效。</w:t>
            </w:r>
          </w:p>
        </w:tc>
        <w:tc>
          <w:tcPr>
            <w:tcW w:w="0" w:type="auto"/>
          </w:tcP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jc w:val="left"/>
    </w:pPr>
    <w:r>
      <w:pict>
        <v:shape id="_x0000_s3073" o:spid="_x0000_s3073"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A71A7A"/>
    <w:multiLevelType w:val="multilevel"/>
    <w:tmpl w:val="59A71A7A"/>
    <w:lvl w:ilvl="0" w:tentative="0">
      <w:start w:val="1"/>
      <w:numFmt w:val="decimal"/>
      <w:lvlText w:val="%1."/>
      <w:lvlJc w:val="left"/>
      <w:pPr>
        <w:ind w:left="782" w:hanging="36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878DC"/>
    <w:rsid w:val="00077C8B"/>
    <w:rsid w:val="000D186F"/>
    <w:rsid w:val="00104D41"/>
    <w:rsid w:val="003B7161"/>
    <w:rsid w:val="004B6552"/>
    <w:rsid w:val="006448CF"/>
    <w:rsid w:val="006E1CBA"/>
    <w:rsid w:val="007878DC"/>
    <w:rsid w:val="009328C5"/>
    <w:rsid w:val="009A5DD2"/>
    <w:rsid w:val="00AA1D09"/>
    <w:rsid w:val="00C2277D"/>
    <w:rsid w:val="00CD5EC1"/>
    <w:rsid w:val="00D21DA8"/>
    <w:rsid w:val="00D64228"/>
    <w:rsid w:val="00EA6797"/>
    <w:rsid w:val="39D37AA5"/>
    <w:rsid w:val="3ECF112B"/>
    <w:rsid w:val="43CE0904"/>
    <w:rsid w:val="46DF2CB1"/>
    <w:rsid w:val="5D835503"/>
    <w:rsid w:val="787309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99"/>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rFonts w:ascii="Times New Roman" w:hAnsi="Times New Roman" w:eastAsia="宋体" w:cs="Times New Roman"/>
      <w:sz w:val="18"/>
      <w:szCs w:val="18"/>
    </w:rPr>
  </w:style>
  <w:style w:type="character" w:customStyle="1" w:styleId="10">
    <w:name w:val="页脚 字符"/>
    <w:basedOn w:val="8"/>
    <w:link w:val="5"/>
    <w:qFormat/>
    <w:uiPriority w:val="99"/>
    <w:rPr>
      <w:rFonts w:ascii="Times New Roman" w:hAnsi="Times New Roman" w:eastAsia="宋体" w:cs="Times New Roman"/>
      <w:sz w:val="18"/>
      <w:szCs w:val="18"/>
    </w:rPr>
  </w:style>
  <w:style w:type="character" w:customStyle="1" w:styleId="11">
    <w:name w:val="批注框文本 字符"/>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954</Words>
  <Characters>5442</Characters>
  <Lines>45</Lines>
  <Paragraphs>12</Paragraphs>
  <TotalTime>2</TotalTime>
  <ScaleCrop>false</ScaleCrop>
  <LinksUpToDate>false</LinksUpToDate>
  <CharactersWithSpaces>6384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2021-06-07T07:48:53Z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58D63D9A5C6749E4B0FE3DF2E7131B77</vt:lpwstr>
  </property>
</Properties>
</file>