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受审核方：保定康尔健文教设备制造有限公司</w:t>
      </w: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49"/>
        <w:gridCol w:w="1400"/>
        <w:gridCol w:w="2690"/>
        <w:gridCol w:w="58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49" w:type="dxa"/>
            <w:vAlign w:val="center"/>
          </w:tcPr>
          <w:p>
            <w:pPr>
              <w:jc w:val="center"/>
              <w:rPr>
                <w:b/>
                <w:sz w:val="21"/>
                <w:szCs w:val="21"/>
              </w:rPr>
            </w:pPr>
            <w:r>
              <w:rPr>
                <w:rFonts w:hint="eastAsia"/>
                <w:b/>
                <w:sz w:val="21"/>
                <w:szCs w:val="21"/>
              </w:rPr>
              <w:t>职务</w:t>
            </w:r>
          </w:p>
        </w:tc>
        <w:tc>
          <w:tcPr>
            <w:tcW w:w="1400" w:type="dxa"/>
            <w:vAlign w:val="center"/>
          </w:tcPr>
          <w:p>
            <w:pPr>
              <w:jc w:val="center"/>
              <w:rPr>
                <w:b/>
                <w:sz w:val="21"/>
                <w:szCs w:val="21"/>
              </w:rPr>
            </w:pPr>
            <w:r>
              <w:rPr>
                <w:rFonts w:hint="eastAsia"/>
                <w:b/>
                <w:sz w:val="21"/>
                <w:szCs w:val="21"/>
              </w:rPr>
              <w:t>注册级别</w:t>
            </w:r>
          </w:p>
        </w:tc>
        <w:tc>
          <w:tcPr>
            <w:tcW w:w="2690" w:type="dxa"/>
            <w:vAlign w:val="center"/>
          </w:tcPr>
          <w:p>
            <w:pPr>
              <w:jc w:val="center"/>
              <w:rPr>
                <w:b/>
                <w:sz w:val="21"/>
                <w:szCs w:val="21"/>
              </w:rPr>
            </w:pPr>
            <w:r>
              <w:rPr>
                <w:rFonts w:hint="eastAsia"/>
                <w:b/>
                <w:sz w:val="21"/>
                <w:szCs w:val="21"/>
              </w:rPr>
              <w:t>审核员注册号</w:t>
            </w:r>
          </w:p>
        </w:tc>
        <w:tc>
          <w:tcPr>
            <w:tcW w:w="132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849" w:type="dxa"/>
            <w:vAlign w:val="center"/>
          </w:tcPr>
          <w:p>
            <w:pPr>
              <w:jc w:val="center"/>
              <w:rPr>
                <w:b/>
                <w:sz w:val="21"/>
                <w:szCs w:val="21"/>
              </w:rPr>
            </w:pPr>
            <w:r>
              <w:rPr>
                <w:b/>
                <w:sz w:val="21"/>
                <w:szCs w:val="21"/>
              </w:rPr>
              <w:t>组长</w:t>
            </w:r>
          </w:p>
        </w:tc>
        <w:tc>
          <w:tcPr>
            <w:tcW w:w="140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90"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1324"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周涛</w:t>
            </w:r>
          </w:p>
        </w:tc>
        <w:tc>
          <w:tcPr>
            <w:tcW w:w="824" w:type="dxa"/>
            <w:gridSpan w:val="2"/>
            <w:vAlign w:val="center"/>
          </w:tcPr>
          <w:p>
            <w:pPr>
              <w:jc w:val="center"/>
              <w:rPr>
                <w:b/>
                <w:sz w:val="21"/>
                <w:szCs w:val="21"/>
              </w:rPr>
            </w:pPr>
            <w:r>
              <w:rPr>
                <w:b/>
                <w:sz w:val="21"/>
                <w:szCs w:val="21"/>
              </w:rPr>
              <w:t>男</w:t>
            </w:r>
          </w:p>
        </w:tc>
        <w:tc>
          <w:tcPr>
            <w:tcW w:w="849" w:type="dxa"/>
            <w:vAlign w:val="center"/>
          </w:tcPr>
          <w:p>
            <w:pPr>
              <w:jc w:val="center"/>
              <w:rPr>
                <w:b/>
                <w:sz w:val="21"/>
                <w:szCs w:val="21"/>
              </w:rPr>
            </w:pPr>
            <w:r>
              <w:rPr>
                <w:b/>
                <w:sz w:val="21"/>
                <w:szCs w:val="21"/>
              </w:rPr>
              <w:t>组员</w:t>
            </w:r>
          </w:p>
        </w:tc>
        <w:tc>
          <w:tcPr>
            <w:tcW w:w="140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90" w:type="dxa"/>
            <w:vAlign w:val="center"/>
          </w:tcPr>
          <w:p>
            <w:pPr>
              <w:jc w:val="center"/>
              <w:rPr>
                <w:b/>
                <w:sz w:val="21"/>
                <w:szCs w:val="21"/>
              </w:rPr>
            </w:pPr>
            <w:r>
              <w:rPr>
                <w:b/>
                <w:sz w:val="21"/>
                <w:szCs w:val="21"/>
              </w:rPr>
              <w:t>2019-N1QMS-3072033</w:t>
            </w:r>
          </w:p>
          <w:p>
            <w:pPr>
              <w:jc w:val="center"/>
              <w:rPr>
                <w:b/>
                <w:sz w:val="21"/>
                <w:szCs w:val="21"/>
              </w:rPr>
            </w:pPr>
            <w:r>
              <w:rPr>
                <w:b/>
                <w:sz w:val="21"/>
                <w:szCs w:val="21"/>
              </w:rPr>
              <w:t>2021-N1EMS-3072033</w:t>
            </w:r>
          </w:p>
          <w:p>
            <w:pPr>
              <w:jc w:val="center"/>
              <w:rPr>
                <w:b/>
                <w:sz w:val="21"/>
                <w:szCs w:val="21"/>
              </w:rPr>
            </w:pPr>
            <w:r>
              <w:rPr>
                <w:b/>
                <w:sz w:val="21"/>
                <w:szCs w:val="21"/>
              </w:rPr>
              <w:t>2021-N1OHSMS-3072033</w:t>
            </w:r>
          </w:p>
        </w:tc>
        <w:tc>
          <w:tcPr>
            <w:tcW w:w="1324"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49" w:type="dxa"/>
          </w:tcPr>
          <w:p>
            <w:pPr>
              <w:rPr>
                <w:b/>
                <w:sz w:val="21"/>
                <w:szCs w:val="21"/>
              </w:rPr>
            </w:pPr>
          </w:p>
        </w:tc>
        <w:tc>
          <w:tcPr>
            <w:tcW w:w="1400" w:type="dxa"/>
          </w:tcPr>
          <w:p>
            <w:pPr>
              <w:rPr>
                <w:b/>
                <w:sz w:val="21"/>
                <w:szCs w:val="21"/>
              </w:rPr>
            </w:pPr>
          </w:p>
        </w:tc>
        <w:tc>
          <w:tcPr>
            <w:tcW w:w="2690" w:type="dxa"/>
          </w:tcPr>
          <w:p>
            <w:pPr>
              <w:rPr>
                <w:b/>
                <w:sz w:val="21"/>
                <w:szCs w:val="21"/>
              </w:rPr>
            </w:pPr>
          </w:p>
        </w:tc>
        <w:tc>
          <w:tcPr>
            <w:tcW w:w="132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49" w:type="dxa"/>
            <w:vAlign w:val="center"/>
          </w:tcPr>
          <w:p>
            <w:pPr>
              <w:jc w:val="center"/>
              <w:rPr>
                <w:b/>
                <w:sz w:val="21"/>
                <w:szCs w:val="21"/>
              </w:rPr>
            </w:pPr>
            <w:r>
              <w:rPr>
                <w:rFonts w:hint="eastAsia"/>
                <w:b/>
                <w:sz w:val="21"/>
                <w:szCs w:val="21"/>
              </w:rPr>
              <w:t>角色</w:t>
            </w:r>
          </w:p>
        </w:tc>
        <w:tc>
          <w:tcPr>
            <w:tcW w:w="714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49" w:type="dxa"/>
            <w:vAlign w:val="center"/>
          </w:tcPr>
          <w:p>
            <w:pPr>
              <w:jc w:val="center"/>
              <w:rPr>
                <w:b/>
                <w:sz w:val="21"/>
                <w:szCs w:val="21"/>
              </w:rPr>
            </w:pPr>
          </w:p>
        </w:tc>
        <w:tc>
          <w:tcPr>
            <w:tcW w:w="714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49" w:type="dxa"/>
            <w:vAlign w:val="center"/>
          </w:tcPr>
          <w:p>
            <w:pPr>
              <w:jc w:val="center"/>
              <w:rPr>
                <w:b/>
              </w:rPr>
            </w:pPr>
          </w:p>
        </w:tc>
        <w:tc>
          <w:tcPr>
            <w:tcW w:w="714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49" w:type="dxa"/>
            <w:vAlign w:val="center"/>
          </w:tcPr>
          <w:p>
            <w:pPr>
              <w:jc w:val="center"/>
              <w:rPr>
                <w:b/>
              </w:rPr>
            </w:pPr>
          </w:p>
        </w:tc>
        <w:tc>
          <w:tcPr>
            <w:tcW w:w="714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lang w:eastAsia="zh-CN"/>
        </w:rPr>
        <w:t>□</w:t>
      </w: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bookmarkStart w:id="9" w:name="S勾选Add1"/>
      <w:r>
        <w:rPr>
          <w:rFonts w:hint="eastAsia"/>
          <w:b/>
          <w:sz w:val="21"/>
          <w:szCs w:val="21"/>
        </w:rPr>
        <w:t>■</w:t>
      </w:r>
      <w:bookmarkEnd w:id="8"/>
      <w:r>
        <w:rPr>
          <w:rFonts w:hint="eastAsia"/>
          <w:b/>
          <w:sz w:val="21"/>
          <w:szCs w:val="21"/>
        </w:rPr>
        <w:t xml:space="preserve"> GB/T45001—2020</w:t>
      </w:r>
      <w:r>
        <w:rPr>
          <w:rFonts w:hint="eastAsia"/>
          <w:b/>
          <w:sz w:val="21"/>
          <w:szCs w:val="21"/>
          <w:lang w:val="en-US" w:eastAsia="zh-CN"/>
        </w:rPr>
        <w:t xml:space="preserve"> </w:t>
      </w:r>
      <w:r>
        <w:rPr>
          <w:rFonts w:hint="eastAsia"/>
          <w:b/>
          <w:sz w:val="21"/>
          <w:szCs w:val="21"/>
        </w:rPr>
        <w:t>idt ISO 45001:2018标准</w:t>
      </w:r>
    </w:p>
    <w:bookmarkEnd w:id="9"/>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078"/>
        <w:gridCol w:w="1530"/>
        <w:gridCol w:w="1570"/>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eastAsia="宋体" w:cs="Times New Roman"/>
                <w:b/>
                <w:sz w:val="21"/>
              </w:rPr>
            </w:pPr>
            <w:r>
              <w:rPr>
                <w:rFonts w:hint="eastAsia" w:ascii="宋体" w:hAnsi="宋体" w:eastAsia="宋体" w:cs="Times New Roman"/>
                <w:b/>
                <w:sz w:val="21"/>
              </w:rPr>
              <w:t>受审核方名称</w:t>
            </w:r>
          </w:p>
        </w:tc>
        <w:tc>
          <w:tcPr>
            <w:tcW w:w="4297" w:type="dxa"/>
            <w:gridSpan w:val="3"/>
            <w:vAlign w:val="center"/>
          </w:tcPr>
          <w:p>
            <w:pPr>
              <w:spacing w:line="260" w:lineRule="exact"/>
              <w:jc w:val="both"/>
              <w:rPr>
                <w:rFonts w:hint="eastAsia" w:ascii="宋体" w:hAnsi="宋体" w:eastAsia="宋体" w:cs="Times New Roman"/>
                <w:b/>
                <w:sz w:val="21"/>
              </w:rPr>
            </w:pPr>
            <w:bookmarkStart w:id="10" w:name="组织名称Add"/>
            <w:r>
              <w:rPr>
                <w:rFonts w:hint="eastAsia" w:ascii="宋体" w:hAnsi="宋体" w:eastAsia="宋体" w:cs="Times New Roman"/>
                <w:b/>
                <w:sz w:val="21"/>
              </w:rPr>
              <w:t>保定康尔健文教设备制造有限公司</w:t>
            </w:r>
            <w:bookmarkEnd w:id="10"/>
          </w:p>
        </w:tc>
        <w:tc>
          <w:tcPr>
            <w:tcW w:w="157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21" w:type="dxa"/>
            <w:vAlign w:val="center"/>
          </w:tcPr>
          <w:p>
            <w:pPr>
              <w:spacing w:line="260" w:lineRule="exact"/>
              <w:ind w:firstLine="211" w:firstLineChars="100"/>
              <w:jc w:val="both"/>
              <w:rPr>
                <w:rFonts w:ascii="宋体"/>
                <w:b/>
                <w:sz w:val="21"/>
              </w:rPr>
            </w:pPr>
            <w:r>
              <w:rPr>
                <w:rFonts w:hint="eastAsia" w:ascii="宋体" w:hAnsi="Times New Roman" w:eastAsia="宋体" w:cs="Times New Roman"/>
                <w:b/>
                <w:sz w:val="21"/>
                <w:lang w:eastAsia="zh-CN"/>
              </w:rPr>
              <w:t>6</w:t>
            </w:r>
            <w:r>
              <w:rPr>
                <w:rFonts w:hint="eastAsia" w:ascii="宋体" w:hAnsi="Times New Roman" w:eastAsia="宋体" w:cs="Times New Roman"/>
                <w:b/>
                <w:sz w:val="21"/>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97" w:type="dxa"/>
            <w:gridSpan w:val="3"/>
          </w:tcPr>
          <w:p>
            <w:pPr>
              <w:rPr>
                <w:rFonts w:ascii="宋体"/>
                <w:b/>
                <w:sz w:val="21"/>
              </w:rPr>
            </w:pPr>
            <w:bookmarkStart w:id="11" w:name="注册地址"/>
            <w:r>
              <w:rPr>
                <w:rFonts w:ascii="宋体"/>
                <w:b/>
                <w:sz w:val="21"/>
              </w:rPr>
              <w:t>河北省保定市唐县王京镇西安乐村</w:t>
            </w:r>
            <w:bookmarkEnd w:id="11"/>
          </w:p>
        </w:tc>
        <w:tc>
          <w:tcPr>
            <w:tcW w:w="1570" w:type="dxa"/>
            <w:vMerge w:val="restart"/>
            <w:vAlign w:val="center"/>
          </w:tcPr>
          <w:p>
            <w:pPr>
              <w:jc w:val="center"/>
              <w:rPr>
                <w:rFonts w:ascii="宋体"/>
                <w:b/>
                <w:sz w:val="21"/>
              </w:rPr>
            </w:pPr>
            <w:r>
              <w:rPr>
                <w:rFonts w:hint="eastAsia" w:ascii="宋体" w:hAnsi="宋体"/>
                <w:b/>
                <w:sz w:val="21"/>
              </w:rPr>
              <w:t>邮编</w:t>
            </w:r>
          </w:p>
        </w:tc>
        <w:tc>
          <w:tcPr>
            <w:tcW w:w="1721" w:type="dxa"/>
          </w:tcPr>
          <w:p>
            <w:pPr>
              <w:rPr>
                <w:rFonts w:ascii="宋体"/>
                <w:b/>
                <w:sz w:val="21"/>
              </w:rPr>
            </w:pPr>
            <w:bookmarkStart w:id="12" w:name="注册邮编"/>
            <w:r>
              <w:rPr>
                <w:rFonts w:ascii="宋体"/>
                <w:b/>
                <w:sz w:val="21"/>
              </w:rPr>
              <w:t>072350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97" w:type="dxa"/>
            <w:gridSpan w:val="3"/>
          </w:tcPr>
          <w:p>
            <w:pPr>
              <w:rPr>
                <w:rFonts w:ascii="宋体"/>
                <w:b/>
                <w:sz w:val="21"/>
              </w:rPr>
            </w:pPr>
            <w:bookmarkStart w:id="13" w:name="办公地址"/>
            <w:r>
              <w:rPr>
                <w:rFonts w:ascii="宋体"/>
                <w:b/>
                <w:sz w:val="21"/>
              </w:rPr>
              <w:t>河北省保定市唐县王京镇西安乐村</w:t>
            </w:r>
            <w:bookmarkEnd w:id="13"/>
          </w:p>
        </w:tc>
        <w:tc>
          <w:tcPr>
            <w:tcW w:w="1570" w:type="dxa"/>
            <w:vMerge w:val="continue"/>
            <w:vAlign w:val="center"/>
          </w:tcPr>
          <w:p>
            <w:pPr>
              <w:jc w:val="center"/>
              <w:rPr>
                <w:rFonts w:ascii="宋体"/>
                <w:b/>
                <w:sz w:val="21"/>
              </w:rPr>
            </w:pPr>
          </w:p>
        </w:tc>
        <w:tc>
          <w:tcPr>
            <w:tcW w:w="1721" w:type="dxa"/>
          </w:tcPr>
          <w:p>
            <w:pPr>
              <w:rPr>
                <w:rFonts w:ascii="宋体"/>
                <w:b/>
                <w:sz w:val="21"/>
              </w:rPr>
            </w:pPr>
            <w:bookmarkStart w:id="14" w:name="办公邮编"/>
            <w:r>
              <w:rPr>
                <w:rFonts w:ascii="宋体"/>
                <w:b/>
                <w:sz w:val="21"/>
              </w:rPr>
              <w:t>072350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97" w:type="dxa"/>
            <w:gridSpan w:val="3"/>
          </w:tcPr>
          <w:p>
            <w:pPr>
              <w:rPr>
                <w:rFonts w:ascii="宋体"/>
                <w:b/>
                <w:sz w:val="21"/>
              </w:rPr>
            </w:pPr>
            <w:bookmarkStart w:id="15" w:name="生产地址Add"/>
            <w:r>
              <w:rPr>
                <w:rFonts w:ascii="宋体"/>
                <w:b/>
                <w:sz w:val="21"/>
              </w:rPr>
              <w:t>河北省保定市唐县王京镇西安乐村</w:t>
            </w:r>
            <w:bookmarkEnd w:id="15"/>
          </w:p>
        </w:tc>
        <w:tc>
          <w:tcPr>
            <w:tcW w:w="1570" w:type="dxa"/>
            <w:vMerge w:val="continue"/>
            <w:vAlign w:val="center"/>
          </w:tcPr>
          <w:p>
            <w:pPr>
              <w:jc w:val="center"/>
              <w:rPr>
                <w:rFonts w:ascii="宋体"/>
                <w:b/>
                <w:sz w:val="21"/>
              </w:rPr>
            </w:pPr>
          </w:p>
        </w:tc>
        <w:tc>
          <w:tcPr>
            <w:tcW w:w="1721" w:type="dxa"/>
          </w:tcPr>
          <w:p>
            <w:pPr>
              <w:rPr>
                <w:rFonts w:ascii="宋体"/>
                <w:b/>
                <w:sz w:val="21"/>
              </w:rPr>
            </w:pPr>
            <w:bookmarkStart w:id="16" w:name="生产邮编"/>
            <w:r>
              <w:rPr>
                <w:rFonts w:ascii="宋体"/>
                <w:b/>
                <w:sz w:val="21"/>
              </w:rPr>
              <w:t>072350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张柏林</w:t>
            </w:r>
            <w:bookmarkEnd w:id="17"/>
          </w:p>
        </w:tc>
        <w:tc>
          <w:tcPr>
            <w:tcW w:w="1078" w:type="dxa"/>
            <w:vAlign w:val="center"/>
          </w:tcPr>
          <w:p>
            <w:pPr>
              <w:jc w:val="center"/>
              <w:rPr>
                <w:rFonts w:ascii="宋体"/>
                <w:b/>
                <w:sz w:val="21"/>
              </w:rPr>
            </w:pPr>
            <w:r>
              <w:rPr>
                <w:rFonts w:hint="eastAsia" w:ascii="宋体" w:hAnsi="宋体"/>
                <w:b/>
                <w:sz w:val="21"/>
              </w:rPr>
              <w:t>电话</w:t>
            </w:r>
            <w:r>
              <w:rPr>
                <w:b/>
                <w:sz w:val="16"/>
                <w:szCs w:val="16"/>
              </w:rPr>
              <w:t>.</w:t>
            </w:r>
          </w:p>
        </w:tc>
        <w:tc>
          <w:tcPr>
            <w:tcW w:w="1530" w:type="dxa"/>
            <w:vAlign w:val="center"/>
          </w:tcPr>
          <w:p>
            <w:pPr>
              <w:jc w:val="center"/>
              <w:rPr>
                <w:rFonts w:ascii="宋体"/>
                <w:b/>
                <w:sz w:val="21"/>
              </w:rPr>
            </w:pPr>
            <w:bookmarkStart w:id="18" w:name="联系人电话Add"/>
            <w:r>
              <w:rPr>
                <w:rFonts w:ascii="宋体"/>
                <w:b/>
                <w:sz w:val="21"/>
              </w:rPr>
              <w:t>18532205537</w:t>
            </w:r>
            <w:bookmarkEnd w:id="18"/>
          </w:p>
        </w:tc>
        <w:tc>
          <w:tcPr>
            <w:tcW w:w="1570" w:type="dxa"/>
            <w:vAlign w:val="center"/>
          </w:tcPr>
          <w:p>
            <w:pPr>
              <w:jc w:val="center"/>
              <w:rPr>
                <w:rFonts w:ascii="宋体"/>
                <w:b/>
                <w:sz w:val="21"/>
              </w:rPr>
            </w:pPr>
            <w:r>
              <w:rPr>
                <w:rFonts w:hint="eastAsia" w:ascii="宋体" w:hAnsi="宋体"/>
                <w:b/>
                <w:sz w:val="21"/>
              </w:rPr>
              <w:t>传真</w:t>
            </w:r>
          </w:p>
        </w:tc>
        <w:tc>
          <w:tcPr>
            <w:tcW w:w="1721"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20" w:name="法人"/>
            <w:r>
              <w:rPr>
                <w:rFonts w:ascii="宋体" w:hAnsi="宋体"/>
                <w:b/>
                <w:sz w:val="21"/>
                <w:szCs w:val="21"/>
              </w:rPr>
              <w:t>窦印良</w:t>
            </w:r>
            <w:bookmarkEnd w:id="20"/>
          </w:p>
        </w:tc>
        <w:tc>
          <w:tcPr>
            <w:tcW w:w="1078" w:type="dxa"/>
            <w:vAlign w:val="center"/>
          </w:tcPr>
          <w:p>
            <w:pPr>
              <w:jc w:val="center"/>
              <w:rPr>
                <w:rFonts w:ascii="宋体" w:hAnsi="宋体"/>
                <w:b/>
                <w:sz w:val="21"/>
                <w:szCs w:val="21"/>
              </w:rPr>
            </w:pPr>
            <w:r>
              <w:rPr>
                <w:rFonts w:hint="eastAsia" w:ascii="宋体" w:hAnsi="宋体"/>
                <w:b/>
                <w:sz w:val="21"/>
                <w:szCs w:val="21"/>
              </w:rPr>
              <w:t>总经理</w:t>
            </w:r>
          </w:p>
        </w:tc>
        <w:tc>
          <w:tcPr>
            <w:tcW w:w="1530" w:type="dxa"/>
            <w:vAlign w:val="center"/>
          </w:tcPr>
          <w:p>
            <w:pPr>
              <w:jc w:val="center"/>
              <w:rPr>
                <w:rFonts w:ascii="宋体" w:hAnsi="宋体"/>
                <w:b/>
                <w:sz w:val="21"/>
                <w:szCs w:val="21"/>
              </w:rPr>
            </w:pPr>
          </w:p>
        </w:tc>
        <w:tc>
          <w:tcPr>
            <w:tcW w:w="1570" w:type="dxa"/>
            <w:vAlign w:val="center"/>
          </w:tcPr>
          <w:p>
            <w:pPr>
              <w:jc w:val="center"/>
              <w:rPr>
                <w:rFonts w:ascii="宋体" w:hAnsi="宋体"/>
                <w:b/>
                <w:sz w:val="21"/>
                <w:szCs w:val="21"/>
              </w:rPr>
            </w:pPr>
            <w:r>
              <w:rPr>
                <w:rFonts w:hint="eastAsia" w:ascii="宋体" w:hAnsi="宋体"/>
                <w:b/>
                <w:sz w:val="21"/>
                <w:szCs w:val="21"/>
              </w:rPr>
              <w:t>管理者代表</w:t>
            </w:r>
          </w:p>
        </w:tc>
        <w:tc>
          <w:tcPr>
            <w:tcW w:w="1721" w:type="dxa"/>
            <w:vAlign w:val="center"/>
          </w:tcPr>
          <w:p>
            <w:pPr>
              <w:jc w:val="center"/>
              <w:rPr>
                <w:rFonts w:hint="default" w:ascii="宋体" w:eastAsia="宋体"/>
                <w:b/>
                <w:sz w:val="21"/>
                <w:lang w:val="en-US" w:eastAsia="zh-CN"/>
              </w:rPr>
            </w:pPr>
            <w:bookmarkStart w:id="21" w:name="管理者代表"/>
            <w:r>
              <w:rPr>
                <w:rFonts w:ascii="宋体"/>
                <w:b/>
                <w:sz w:val="21"/>
              </w:rPr>
              <w:t>张</w:t>
            </w:r>
            <w:bookmarkEnd w:id="21"/>
            <w:r>
              <w:rPr>
                <w:rFonts w:hint="eastAsia" w:ascii="宋体"/>
                <w:b/>
                <w:sz w:val="21"/>
                <w:lang w:val="en-US" w:eastAsia="zh-CN"/>
              </w:rPr>
              <w:t>柏林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67" w:type="dxa"/>
            <w:gridSpan w:val="2"/>
            <w:vAlign w:val="center"/>
          </w:tcPr>
          <w:p>
            <w:pPr>
              <w:rPr>
                <w:rFonts w:ascii="宋体" w:hAnsi="宋体"/>
                <w:b/>
                <w:sz w:val="21"/>
                <w:szCs w:val="21"/>
              </w:rPr>
            </w:pPr>
            <w:bookmarkStart w:id="22" w:name="审核日期"/>
            <w:r>
              <w:rPr>
                <w:rFonts w:ascii="宋体" w:hAnsi="宋体"/>
                <w:b/>
                <w:sz w:val="21"/>
                <w:szCs w:val="21"/>
              </w:rPr>
              <w:t>2021年06月05日 上午至2021年06月06日 下午</w:t>
            </w:r>
            <w:bookmarkEnd w:id="22"/>
          </w:p>
        </w:tc>
        <w:tc>
          <w:tcPr>
            <w:tcW w:w="1530" w:type="dxa"/>
            <w:vAlign w:val="center"/>
          </w:tcPr>
          <w:p>
            <w:pPr>
              <w:rPr>
                <w:rFonts w:ascii="宋体" w:hAnsi="宋体"/>
                <w:b/>
                <w:sz w:val="21"/>
                <w:szCs w:val="21"/>
              </w:rPr>
            </w:pPr>
            <w:r>
              <w:rPr>
                <w:rFonts w:hint="eastAsia" w:ascii="宋体" w:hAnsi="宋体"/>
                <w:b/>
                <w:sz w:val="21"/>
                <w:szCs w:val="21"/>
              </w:rPr>
              <w:t>一体化审核</w:t>
            </w:r>
          </w:p>
        </w:tc>
        <w:tc>
          <w:tcPr>
            <w:tcW w:w="329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0" w:lineRule="atLeast"/>
              <w:jc w:val="left"/>
              <w:rPr>
                <w:rFonts w:hint="eastAsia" w:ascii="宋体" w:hAnsi="宋体"/>
                <w:sz w:val="21"/>
                <w:szCs w:val="21"/>
              </w:rPr>
            </w:pPr>
            <w:bookmarkStart w:id="23" w:name="审核范围"/>
            <w:bookmarkStart w:id="24" w:name="Q勾选15Add1"/>
            <w:r>
              <w:rPr>
                <w:rFonts w:hint="eastAsia" w:ascii="宋体" w:hAnsi="宋体"/>
                <w:b/>
                <w:sz w:val="21"/>
                <w:szCs w:val="21"/>
              </w:rPr>
              <w:t>■</w:t>
            </w:r>
            <w:r>
              <w:rPr>
                <w:rFonts w:ascii="宋体" w:hAnsi="宋体"/>
                <w:b/>
                <w:sz w:val="21"/>
                <w:szCs w:val="21"/>
              </w:rPr>
              <w:t>QMS</w:t>
            </w:r>
            <w:r>
              <w:rPr>
                <w:rFonts w:hint="eastAsia" w:ascii="宋体" w:hAnsi="宋体"/>
                <w:b/>
                <w:sz w:val="21"/>
                <w:szCs w:val="21"/>
              </w:rPr>
              <w:t>：</w:t>
            </w:r>
            <w:r>
              <w:rPr>
                <w:rFonts w:hint="eastAsia" w:ascii="宋体" w:hAnsi="宋体"/>
                <w:sz w:val="21"/>
                <w:szCs w:val="21"/>
              </w:rPr>
              <w:t>办公家具、体育器材 、健身器材、实验器材、多媒体教学专用设备、塑胶跑道、学生桌椅、儿童娱乐玩具（涉及安全危险的除外）的销售</w:t>
            </w:r>
          </w:p>
          <w:p>
            <w:pPr>
              <w:spacing w:line="360" w:lineRule="exact"/>
              <w:rPr>
                <w:rFonts w:hint="eastAsia" w:ascii="宋体" w:hAnsi="宋体"/>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办公家具、体育器材 、健身器材、实验器材、多媒体教学专用设备、塑胶跑道、学生桌椅、儿童娱乐玩具（涉及安全危险的除外）的销售所涉及相关场所的环境管理活动</w:t>
            </w:r>
          </w:p>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OHSMS</w:t>
            </w:r>
            <w:r>
              <w:rPr>
                <w:rFonts w:hint="eastAsia" w:ascii="宋体" w:hAnsi="宋体"/>
                <w:sz w:val="21"/>
                <w:szCs w:val="21"/>
              </w:rPr>
              <w:t>办公家具、体育器材 、健身器材、实验器材、多媒体教学专用设备、塑胶跑道、学生桌椅、儿童娱乐玩具（涉及安全危险的除外）的销售所涉及相关场所的职业健康安全管理活动</w:t>
            </w:r>
            <w:bookmarkEnd w:id="23"/>
            <w:r>
              <w:rPr>
                <w:rFonts w:hint="eastAsia" w:ascii="宋体" w:hAnsi="宋体"/>
                <w:sz w:val="21"/>
                <w:szCs w:val="21"/>
              </w:rPr>
              <w:t xml:space="preserve">  </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07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530" w:type="dxa"/>
            <w:vAlign w:val="center"/>
          </w:tcPr>
          <w:p>
            <w:pPr>
              <w:spacing w:line="260" w:lineRule="exact"/>
              <w:jc w:val="center"/>
              <w:rPr>
                <w:rFonts w:ascii="宋体" w:hAnsi="宋体"/>
                <w:b/>
                <w:sz w:val="21"/>
                <w:szCs w:val="21"/>
              </w:rPr>
            </w:pPr>
            <w:r>
              <w:rPr>
                <w:rFonts w:hint="eastAsia" w:ascii="宋体" w:hAnsi="宋体" w:eastAsia="宋体" w:cs="Times New Roman"/>
                <w:b/>
                <w:sz w:val="21"/>
                <w:szCs w:val="21"/>
              </w:rPr>
              <w:t>2022-01-08</w:t>
            </w:r>
          </w:p>
        </w:tc>
        <w:tc>
          <w:tcPr>
            <w:tcW w:w="157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21" w:type="dxa"/>
            <w:vAlign w:val="center"/>
          </w:tcPr>
          <w:p>
            <w:pPr>
              <w:spacing w:line="260" w:lineRule="exact"/>
              <w:jc w:val="center"/>
              <w:rPr>
                <w:rFonts w:ascii="宋体"/>
                <w:b/>
                <w:sz w:val="21"/>
              </w:rPr>
            </w:pPr>
            <w:r>
              <w:rPr>
                <w:rFonts w:ascii="宋体" w:hAnsi="宋体"/>
                <w:b/>
                <w:sz w:val="21"/>
                <w:szCs w:val="21"/>
              </w:rPr>
              <w:t>2020年03月31日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ascii="宋体" w:hAnsi="宋体"/>
          <w:b/>
          <w:sz w:val="21"/>
          <w:szCs w:val="21"/>
        </w:rPr>
        <w:t>2020年03月31日</w:t>
      </w:r>
      <w:r>
        <w:rPr>
          <w:rFonts w:hint="eastAsia" w:ascii="宋体" w:hAnsi="宋体"/>
          <w:b/>
          <w:sz w:val="21"/>
          <w:szCs w:val="21"/>
        </w:rPr>
        <w:t>至</w:t>
      </w:r>
      <w:r>
        <w:rPr>
          <w:rFonts w:ascii="宋体" w:hAnsi="宋体"/>
          <w:b/>
          <w:sz w:val="21"/>
          <w:szCs w:val="21"/>
        </w:rPr>
        <w:t>2021年06月06日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exact"/>
              <w:rPr>
                <w:rFonts w:hint="eastAsia" w:ascii="宋体" w:hAnsi="宋体"/>
                <w:sz w:val="21"/>
                <w:szCs w:val="21"/>
              </w:rPr>
            </w:pPr>
            <w:r>
              <w:rPr>
                <w:rFonts w:hint="eastAsia" w:ascii="宋体" w:hAnsi="宋体"/>
                <w:sz w:val="21"/>
                <w:szCs w:val="21"/>
              </w:rPr>
              <w:t>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exact"/>
              <w:rPr>
                <w:rFonts w:hint="eastAsia" w:ascii="宋体" w:hAnsi="宋体"/>
                <w:sz w:val="21"/>
                <w:szCs w:val="21"/>
              </w:rPr>
            </w:pPr>
            <w:r>
              <w:rPr>
                <w:rFonts w:hint="eastAsia" w:ascii="宋体" w:hAnsi="宋体"/>
                <w:sz w:val="21"/>
                <w:szCs w:val="21"/>
                <w:lang w:val="en-US" w:eastAsia="zh-CN"/>
              </w:rPr>
              <w:t>该</w:t>
            </w:r>
            <w:r>
              <w:rPr>
                <w:rFonts w:hint="eastAsia" w:ascii="宋体" w:hAnsi="宋体"/>
                <w:sz w:val="21"/>
                <w:szCs w:val="21"/>
              </w:rPr>
              <w:t>公司主要业务为办公家具、体育器材 、健身器材、实验器材、多媒体教学专用设备、塑胶跑道、学生桌椅、儿童娱乐玩具（涉及安全危险的除外）的销售，主要客户群为学校和教育局等；公司采用经理负责制，层层把关，让用户真正放心。</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36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360" w:lineRule="exact"/>
              <w:rPr>
                <w:rFonts w:hint="eastAsia" w:ascii="宋体" w:hAnsi="宋体"/>
                <w:sz w:val="21"/>
                <w:szCs w:val="21"/>
              </w:rPr>
            </w:pPr>
            <w:r>
              <w:rPr>
                <w:rFonts w:hint="eastAsia" w:ascii="宋体" w:hAnsi="宋体"/>
                <w:sz w:val="21"/>
                <w:szCs w:val="21"/>
              </w:rPr>
              <w:t>在公司运营过程中充分考虑相关方方面的期望或要求，识别的相关方有：顾客、最终用户或受益人、业主，股东、员工等。业务部门和相关职能部门通过日常例会、市场活动、现场拜访、产品展销会、客户调查等多种渠道和方式方法随时了解相关方的需求和期望。做为公司经营风险分析和发展机遇的可利用资源。</w:t>
            </w:r>
          </w:p>
          <w:p>
            <w:pPr>
              <w:spacing w:line="360" w:lineRule="exact"/>
              <w:rPr>
                <w:rFonts w:hint="eastAsia" w:ascii="宋体" w:hAnsi="宋体"/>
                <w:sz w:val="21"/>
                <w:szCs w:val="21"/>
              </w:rPr>
            </w:pPr>
            <w:r>
              <w:rPr>
                <w:rFonts w:hint="eastAsia" w:ascii="宋体" w:hAnsi="宋体"/>
                <w:sz w:val="21"/>
                <w:szCs w:val="21"/>
              </w:rPr>
              <w:t>内外部环境要素识别与评估：在每年的管理评审前，由相关部门负责人进行识别并评估其适宜性。以便于持续满足相关方的需求和期望。提供了相关方需求和期望一览表，调查分析基本齐全，确定了优先考虑的顺序。</w:t>
            </w:r>
          </w:p>
          <w:p>
            <w:pPr>
              <w:spacing w:line="240" w:lineRule="exact"/>
              <w:rPr>
                <w:rFonts w:ascii="宋体" w:hAnsi="宋体"/>
                <w:b/>
                <w:sz w:val="21"/>
                <w:szCs w:val="21"/>
              </w:rPr>
            </w:pPr>
            <w:r>
              <w:rPr>
                <w:rFonts w:hint="eastAsia" w:ascii="宋体" w:hAnsi="宋体"/>
                <w:sz w:val="21"/>
                <w:szCs w:val="21"/>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360" w:lineRule="exact"/>
              <w:rPr>
                <w:rFonts w:hint="eastAsia" w:ascii="宋体" w:hAnsi="宋体"/>
                <w:sz w:val="21"/>
                <w:szCs w:val="21"/>
              </w:rPr>
            </w:pPr>
            <w:r>
              <w:rPr>
                <w:rFonts w:hint="eastAsia" w:ascii="宋体" w:hAnsi="宋体"/>
                <w:sz w:val="21"/>
                <w:szCs w:val="21"/>
              </w:rPr>
              <w:t>质量方针：恪守合同、科学管理、质量第一、持续改进、顾客满意。</w:t>
            </w:r>
          </w:p>
          <w:p>
            <w:pPr>
              <w:spacing w:line="360" w:lineRule="exact"/>
              <w:rPr>
                <w:rFonts w:hint="eastAsia" w:ascii="宋体" w:hAnsi="宋体"/>
                <w:sz w:val="21"/>
                <w:szCs w:val="21"/>
              </w:rPr>
            </w:pPr>
            <w:r>
              <w:rPr>
                <w:rFonts w:hint="eastAsia" w:ascii="宋体" w:hAnsi="宋体"/>
                <w:sz w:val="21"/>
                <w:szCs w:val="21"/>
              </w:rPr>
              <w:t>环境方针：强化环境意识，严守环境法规，走可持续发展道路，完善环境行为，严防环境污染</w:t>
            </w:r>
          </w:p>
          <w:p>
            <w:pPr>
              <w:spacing w:line="360" w:lineRule="exact"/>
              <w:rPr>
                <w:rFonts w:hint="eastAsia" w:ascii="宋体" w:hAnsi="宋体"/>
                <w:sz w:val="21"/>
                <w:szCs w:val="21"/>
                <w:lang w:eastAsia="zh-CN"/>
              </w:rPr>
            </w:pPr>
            <w:r>
              <w:rPr>
                <w:rFonts w:hint="eastAsia" w:ascii="宋体" w:hAnsi="宋体"/>
                <w:sz w:val="21"/>
                <w:szCs w:val="21"/>
              </w:rPr>
              <w:t>职业健康安全方针;遵纪守法，强化职业健康安全管理，消除危害隐患；以人为本，保障员工安康，谋求持续发展</w:t>
            </w:r>
            <w:r>
              <w:rPr>
                <w:rFonts w:hint="eastAsia" w:ascii="宋体" w:hAnsi="宋体"/>
                <w:sz w:val="21"/>
                <w:szCs w:val="21"/>
                <w:lang w:eastAsia="zh-CN"/>
              </w:rPr>
              <w:t>。</w:t>
            </w:r>
          </w:p>
          <w:p>
            <w:pPr>
              <w:spacing w:line="280" w:lineRule="exact"/>
              <w:rPr>
                <w:rFonts w:ascii="宋体" w:hAnsi="宋体"/>
                <w:b/>
                <w:sz w:val="21"/>
                <w:szCs w:val="21"/>
              </w:rPr>
            </w:pPr>
            <w:r>
              <w:rPr>
                <w:rFonts w:hint="eastAsia" w:ascii="宋体" w:hAnsi="宋体"/>
                <w:sz w:val="21"/>
                <w:szCs w:val="21"/>
                <w:lang w:eastAsia="zh-CN"/>
              </w:rPr>
              <w:t>管理方针通过文件、培训等形式将公司管理方针传达给所有为公司工作或代表公司的人员管理评审时进行了评审，方针适宜。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ascii="宋体" w:hAnsi="宋体"/>
                <w:b/>
                <w:sz w:val="21"/>
                <w:szCs w:val="21"/>
              </w:rPr>
            </w:pPr>
            <w:r>
              <w:rPr>
                <w:rFonts w:hint="eastAsia" w:ascii="宋体" w:hAnsi="宋体"/>
                <w:color w:val="000000" w:themeColor="text1"/>
                <w:sz w:val="20"/>
                <w:szCs w:val="20"/>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val="0"/>
                <w:bCs/>
                <w:color w:val="000000" w:themeColor="text1"/>
                <w:sz w:val="21"/>
                <w:szCs w:val="21"/>
              </w:rPr>
              <w:t>人力资源、基础设施、文件、机构、职责、产品和服务的要求、外部提供的产品和服务、销售提供、服务放行、不合格输出控制、绩效评价、改进等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olor w:val="000000" w:themeColor="text1"/>
                <w:sz w:val="20"/>
                <w:szCs w:val="20"/>
                <w:u w:val="single"/>
              </w:rPr>
              <w:t xml:space="preserve">销售过程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themeColor="text1"/>
                <w:sz w:val="20"/>
                <w:szCs w:val="20"/>
                <w:u w:val="single"/>
              </w:rPr>
              <w:t>销售过程</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u w:val="single"/>
              </w:rPr>
              <w:t>8.3条款</w:t>
            </w:r>
            <w:r>
              <w:rPr>
                <w:rFonts w:hint="eastAsia" w:ascii="宋体" w:hAnsi="宋体"/>
                <w:color w:val="000000" w:themeColor="text1"/>
                <w:sz w:val="20"/>
                <w:szCs w:val="20"/>
              </w:rPr>
              <w:t xml:space="preserve">  ，</w:t>
            </w:r>
            <w:r>
              <w:rPr>
                <w:rFonts w:hint="eastAsia" w:ascii="宋体" w:hAnsi="宋体"/>
                <w:b/>
                <w:color w:val="000000" w:themeColor="text1"/>
                <w:sz w:val="20"/>
                <w:szCs w:val="20"/>
              </w:rPr>
              <w:t>不适用理由：</w:t>
            </w:r>
            <w:r>
              <w:rPr>
                <w:rFonts w:hint="eastAsia" w:ascii="宋体" w:hAnsi="宋体"/>
                <w:color w:val="000000" w:themeColor="text1"/>
                <w:sz w:val="20"/>
                <w:szCs w:val="20"/>
                <w:u w:val="single"/>
              </w:rPr>
              <w:t>按照标准和客户要求销售，不需再进行设计开发，删减适宜。</w:t>
            </w:r>
          </w:p>
          <w:p>
            <w:pPr>
              <w:tabs>
                <w:tab w:val="left" w:pos="540"/>
              </w:tabs>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auto"/>
              <w:rPr>
                <w:rFonts w:hint="eastAsia" w:ascii="宋体" w:hAnsi="宋体"/>
                <w:sz w:val="21"/>
                <w:szCs w:val="21"/>
                <w:lang w:eastAsia="zh-CN"/>
              </w:rPr>
            </w:pPr>
            <w:r>
              <w:rPr>
                <w:rFonts w:hint="eastAsia" w:ascii="宋体" w:hAnsi="宋体"/>
                <w:sz w:val="21"/>
                <w:szCs w:val="21"/>
                <w:lang w:eastAsia="zh-CN"/>
              </w:rPr>
              <w:t>识别了办公、销售、质检等过程的环境因素，动态更新，评价出的重要环境因素包括：固体废弃物排放、火灾隐患等。</w:t>
            </w:r>
          </w:p>
          <w:p>
            <w:pPr>
              <w:spacing w:line="240" w:lineRule="auto"/>
              <w:rPr>
                <w:rFonts w:hint="eastAsia" w:ascii="宋体" w:hAnsi="宋体"/>
                <w:sz w:val="21"/>
                <w:szCs w:val="21"/>
                <w:lang w:eastAsia="zh-CN"/>
              </w:rPr>
            </w:pPr>
            <w:r>
              <w:rPr>
                <w:rFonts w:hint="eastAsia" w:ascii="宋体" w:hAnsi="宋体"/>
                <w:sz w:val="21"/>
                <w:szCs w:val="21"/>
                <w:lang w:eastAsia="zh-CN"/>
              </w:rPr>
              <w:t>在采购、销售、质检、运输、交付、日常办公等过程能使用生命周期观点和方法识别环境因素并加以管理。</w:t>
            </w:r>
          </w:p>
          <w:p>
            <w:pPr>
              <w:spacing w:line="240" w:lineRule="auto"/>
              <w:rPr>
                <w:rFonts w:ascii="宋体" w:hAnsi="宋体"/>
                <w:b/>
                <w:sz w:val="21"/>
                <w:szCs w:val="21"/>
              </w:rPr>
            </w:pPr>
            <w:r>
              <w:rPr>
                <w:rFonts w:hint="eastAsia" w:ascii="宋体" w:hAnsi="宋体"/>
                <w:sz w:val="21"/>
                <w:szCs w:val="21"/>
                <w:lang w:eastAsia="zh-CN"/>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auto"/>
              <w:rPr>
                <w:rFonts w:hint="eastAsia" w:ascii="宋体" w:hAnsi="宋体"/>
                <w:sz w:val="21"/>
                <w:szCs w:val="21"/>
                <w:lang w:eastAsia="zh-CN"/>
              </w:rPr>
            </w:pPr>
            <w:r>
              <w:rPr>
                <w:rFonts w:hint="eastAsia" w:ascii="宋体" w:hAnsi="宋体"/>
                <w:sz w:val="21"/>
                <w:szCs w:val="21"/>
                <w:lang w:eastAsia="zh-CN"/>
              </w:rPr>
              <w:t>识别了办公、销售、质检等过程的危险源，动态更新，确定的不可接受风险包括：触电、火灾、人身伤害等。</w:t>
            </w:r>
          </w:p>
          <w:p>
            <w:pPr>
              <w:spacing w:line="240" w:lineRule="auto"/>
              <w:rPr>
                <w:rFonts w:hint="eastAsia" w:ascii="宋体" w:hAnsi="宋体"/>
                <w:sz w:val="21"/>
                <w:szCs w:val="21"/>
                <w:lang w:eastAsia="zh-CN"/>
              </w:rPr>
            </w:pPr>
            <w:r>
              <w:rPr>
                <w:rFonts w:hint="eastAsia" w:ascii="宋体" w:hAnsi="宋体"/>
                <w:sz w:val="21"/>
                <w:szCs w:val="21"/>
                <w:lang w:eastAsia="zh-CN"/>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240" w:lineRule="auto"/>
              <w:rPr>
                <w:rFonts w:ascii="宋体" w:hAnsi="宋体"/>
                <w:b/>
                <w:sz w:val="21"/>
                <w:szCs w:val="21"/>
              </w:rPr>
            </w:pPr>
            <w:r>
              <w:rPr>
                <w:rFonts w:hint="eastAsia" w:ascii="宋体" w:hAnsi="宋体"/>
                <w:sz w:val="21"/>
                <w:szCs w:val="21"/>
                <w:lang w:eastAsia="zh-CN"/>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5"/>
              <w:numPr>
                <w:ilvl w:val="0"/>
                <w:numId w:val="3"/>
              </w:numPr>
              <w:tabs>
                <w:tab w:val="left" w:pos="540"/>
              </w:tabs>
              <w:spacing w:line="300" w:lineRule="exact"/>
              <w:ind w:firstLineChars="0"/>
              <w:rPr>
                <w:rFonts w:hint="eastAsia"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szCs w:val="21"/>
                <w:u w:val="single"/>
              </w:rPr>
              <w:t>公司通过培训、会议等方式向有关员工传达法律、法规及其它要求的相关要求。</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 w:val="0"/>
                <w:bCs/>
                <w:sz w:val="21"/>
                <w:szCs w:val="21"/>
                <w:lang w:val="en-US" w:eastAsia="zh-CN"/>
              </w:rPr>
            </w:pPr>
            <w:r>
              <w:rPr>
                <w:rFonts w:hint="eastAsia" w:ascii="宋体" w:hAnsi="宋体"/>
                <w:b/>
                <w:sz w:val="21"/>
                <w:szCs w:val="21"/>
                <w:lang w:val="en-US" w:eastAsia="zh-CN"/>
              </w:rPr>
              <w:t>管理</w:t>
            </w:r>
            <w:r>
              <w:rPr>
                <w:rFonts w:hint="eastAsia" w:ascii="宋体" w:hAnsi="宋体"/>
                <w:b/>
                <w:sz w:val="21"/>
                <w:szCs w:val="21"/>
              </w:rPr>
              <w:t>目标</w:t>
            </w:r>
            <w:r>
              <w:rPr>
                <w:rFonts w:hint="eastAsia" w:ascii="宋体" w:hAnsi="宋体"/>
                <w:b/>
                <w:sz w:val="21"/>
                <w:szCs w:val="21"/>
                <w:lang w:eastAsia="zh-CN"/>
              </w:rPr>
              <w:t>：</w:t>
            </w:r>
            <w:r>
              <w:rPr>
                <w:rFonts w:hint="eastAsia" w:ascii="宋体" w:hAnsi="宋体"/>
                <w:b/>
                <w:sz w:val="21"/>
                <w:szCs w:val="21"/>
                <w:lang w:val="en-US" w:eastAsia="zh-CN"/>
              </w:rPr>
              <w:t xml:space="preserve">  </w:t>
            </w:r>
            <w:r>
              <w:rPr>
                <w:rFonts w:hint="eastAsia" w:ascii="宋体" w:hAnsi="宋体"/>
                <w:b w:val="0"/>
                <w:bCs/>
                <w:sz w:val="21"/>
                <w:szCs w:val="21"/>
              </w:rPr>
              <w:t>1. 产品出厂合格率100%；</w:t>
            </w:r>
            <w:r>
              <w:rPr>
                <w:rFonts w:hint="eastAsia" w:ascii="宋体" w:hAnsi="宋体"/>
                <w:b w:val="0"/>
                <w:bCs/>
                <w:sz w:val="21"/>
                <w:szCs w:val="21"/>
                <w:lang w:val="en-US" w:eastAsia="zh-CN"/>
              </w:rPr>
              <w:t xml:space="preserve"> </w:t>
            </w:r>
          </w:p>
          <w:p>
            <w:pPr>
              <w:numPr>
                <w:ilvl w:val="0"/>
                <w:numId w:val="4"/>
              </w:numPr>
              <w:spacing w:line="240" w:lineRule="exact"/>
              <w:ind w:firstLine="1260" w:firstLineChars="600"/>
              <w:rPr>
                <w:rFonts w:hint="eastAsia" w:ascii="宋体" w:hAnsi="宋体"/>
                <w:b w:val="0"/>
                <w:bCs/>
                <w:sz w:val="21"/>
                <w:szCs w:val="21"/>
              </w:rPr>
            </w:pPr>
            <w:r>
              <w:rPr>
                <w:rFonts w:hint="eastAsia" w:ascii="宋体" w:hAnsi="宋体"/>
                <w:b w:val="0"/>
                <w:bCs/>
                <w:sz w:val="21"/>
                <w:szCs w:val="21"/>
              </w:rPr>
              <w:t>顾客满意度≧95%；</w:t>
            </w:r>
          </w:p>
          <w:p>
            <w:pPr>
              <w:numPr>
                <w:ilvl w:val="0"/>
                <w:numId w:val="4"/>
              </w:numPr>
              <w:spacing w:line="240" w:lineRule="exact"/>
              <w:ind w:left="0" w:leftChars="0" w:firstLine="1260" w:firstLineChars="600"/>
              <w:rPr>
                <w:rFonts w:hint="eastAsia" w:ascii="宋体" w:hAnsi="宋体"/>
                <w:b w:val="0"/>
                <w:bCs/>
                <w:sz w:val="21"/>
                <w:szCs w:val="21"/>
              </w:rPr>
            </w:pPr>
            <w:r>
              <w:rPr>
                <w:rFonts w:hint="eastAsia" w:ascii="宋体" w:hAnsi="宋体"/>
                <w:b w:val="0"/>
                <w:bCs/>
                <w:sz w:val="21"/>
                <w:szCs w:val="21"/>
              </w:rPr>
              <w:t>固体废弃物有效处置率100%；</w:t>
            </w:r>
          </w:p>
          <w:p>
            <w:pPr>
              <w:numPr>
                <w:ilvl w:val="0"/>
                <w:numId w:val="4"/>
              </w:numPr>
              <w:spacing w:line="240" w:lineRule="exact"/>
              <w:ind w:left="0" w:leftChars="0" w:firstLine="1260" w:firstLineChars="600"/>
              <w:rPr>
                <w:rFonts w:hint="eastAsia" w:ascii="宋体" w:hAnsi="宋体"/>
                <w:b w:val="0"/>
                <w:bCs/>
                <w:sz w:val="21"/>
                <w:szCs w:val="21"/>
              </w:rPr>
            </w:pPr>
            <w:r>
              <w:rPr>
                <w:rFonts w:hint="eastAsia" w:ascii="宋体" w:hAnsi="宋体"/>
                <w:b w:val="0"/>
                <w:bCs/>
                <w:sz w:val="21"/>
                <w:szCs w:val="21"/>
              </w:rPr>
              <w:t>无火灾事故发生；</w:t>
            </w:r>
            <w:r>
              <w:rPr>
                <w:rFonts w:hint="eastAsia" w:ascii="宋体" w:hAnsi="宋体"/>
                <w:b w:val="0"/>
                <w:bCs/>
                <w:sz w:val="21"/>
                <w:szCs w:val="21"/>
                <w:lang w:val="en-US" w:eastAsia="zh-CN"/>
              </w:rPr>
              <w:t xml:space="preserve">   </w:t>
            </w:r>
          </w:p>
          <w:p>
            <w:pPr>
              <w:numPr>
                <w:ilvl w:val="0"/>
                <w:numId w:val="4"/>
              </w:numPr>
              <w:spacing w:line="240" w:lineRule="exact"/>
              <w:ind w:left="0" w:leftChars="0" w:firstLine="1260" w:firstLineChars="600"/>
              <w:rPr>
                <w:rFonts w:hint="eastAsia" w:ascii="宋体" w:hAnsi="宋体"/>
                <w:b w:val="0"/>
                <w:bCs/>
                <w:sz w:val="21"/>
                <w:szCs w:val="21"/>
              </w:rPr>
            </w:pPr>
            <w:r>
              <w:rPr>
                <w:rFonts w:hint="eastAsia" w:ascii="宋体" w:hAnsi="宋体"/>
                <w:b w:val="0"/>
                <w:bCs/>
                <w:sz w:val="21"/>
                <w:szCs w:val="21"/>
              </w:rPr>
              <w:t>无触电事故发生；</w:t>
            </w:r>
          </w:p>
          <w:p>
            <w:pPr>
              <w:numPr>
                <w:ilvl w:val="0"/>
                <w:numId w:val="0"/>
              </w:numPr>
              <w:spacing w:line="240" w:lineRule="exact"/>
              <w:ind w:firstLine="1260" w:firstLineChars="600"/>
              <w:rPr>
                <w:rFonts w:hint="eastAsia" w:ascii="宋体" w:hAnsi="宋体"/>
                <w:b w:val="0"/>
                <w:bCs/>
                <w:sz w:val="21"/>
                <w:szCs w:val="21"/>
              </w:rPr>
            </w:pPr>
            <w:r>
              <w:rPr>
                <w:rFonts w:hint="eastAsia" w:ascii="宋体" w:hAnsi="宋体"/>
                <w:b w:val="0"/>
                <w:bCs/>
                <w:sz w:val="21"/>
                <w:szCs w:val="21"/>
              </w:rPr>
              <w:t>6．无人身伤害事故发生；</w:t>
            </w:r>
          </w:p>
          <w:p>
            <w:pPr>
              <w:spacing w:line="240" w:lineRule="exact"/>
              <w:ind w:firstLine="420" w:firstLineChars="200"/>
              <w:rPr>
                <w:rFonts w:ascii="宋体" w:hAnsi="宋体"/>
                <w:b/>
                <w:sz w:val="21"/>
                <w:szCs w:val="21"/>
              </w:rPr>
            </w:pPr>
            <w:r>
              <w:rPr>
                <w:rFonts w:hint="eastAsia" w:ascii="宋体" w:hAnsi="宋体"/>
                <w:b w:val="0"/>
                <w:bCs/>
                <w:sz w:val="21"/>
                <w:szCs w:val="21"/>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eastAsia="宋体" w:cs="Times New Roman"/>
                <w:kern w:val="2"/>
                <w:sz w:val="21"/>
                <w:szCs w:val="21"/>
                <w:u w:val="none"/>
                <w:lang w:val="en-US" w:eastAsia="zh-CN" w:bidi="ar-SA"/>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540"/>
              </w:tabs>
              <w:spacing w:line="360" w:lineRule="auto"/>
              <w:ind w:firstLine="210" w:firstLineChars="100"/>
              <w:rPr>
                <w:rFonts w:ascii="宋体" w:hAnsi="宋体"/>
                <w:b/>
                <w:sz w:val="21"/>
                <w:szCs w:val="21"/>
              </w:rPr>
            </w:pPr>
            <w:r>
              <w:rPr>
                <w:rFonts w:hint="eastAsia" w:ascii="宋体" w:hAnsi="宋体" w:eastAsia="宋体" w:cs="Times New Roman"/>
                <w:kern w:val="2"/>
                <w:sz w:val="21"/>
                <w:szCs w:val="21"/>
                <w:u w:val="none"/>
                <w:lang w:val="en-US" w:eastAsia="zh-CN" w:bidi="ar-SA"/>
              </w:rPr>
              <w:t>编制了人力资源管理程序，制定培训计划，定期组织相关培训</w:t>
            </w:r>
            <w:r>
              <w:rPr>
                <w:rFonts w:hint="eastAsia" w:ascii="宋体" w:hAnsi="宋体" w:cs="Times New Roman"/>
                <w:kern w:val="2"/>
                <w:sz w:val="21"/>
                <w:szCs w:val="21"/>
                <w:u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rPr>
              <w:t>主要设备有：电脑、打印机、网络、电话、打包机等设施设备，办公室能满足要求；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sz w:val="21"/>
                <w:szCs w:val="21"/>
              </w:rPr>
              <w:t>产品销售对环境没有特殊要求，办公场所空间较宽敞、光线较明亮，销售服务和办公环境干净、整洁。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sz w:val="21"/>
                <w:szCs w:val="21"/>
              </w:rPr>
              <w:t>采取查验产品外观、包装、合格证等方式，</w:t>
            </w:r>
            <w:r>
              <w:rPr>
                <w:rFonts w:hint="eastAsia"/>
                <w:sz w:val="21"/>
                <w:szCs w:val="21"/>
                <w:lang w:val="en-US" w:eastAsia="zh-CN"/>
              </w:rPr>
              <w:t>没有</w:t>
            </w:r>
            <w:r>
              <w:rPr>
                <w:rFonts w:hint="eastAsia"/>
                <w:sz w:val="21"/>
                <w:szCs w:val="21"/>
              </w:rPr>
              <w:t>监视和测量设备，对检查用表格及记录进行受控管理。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ascii="宋体" w:hAnsi="宋体"/>
                <w:b/>
                <w:sz w:val="21"/>
                <w:szCs w:val="21"/>
              </w:rPr>
            </w:pPr>
            <w:r>
              <w:rPr>
                <w:rFonts w:hint="eastAsia" w:ascii="宋体" w:hAnsi="宋体"/>
                <w:b/>
                <w:sz w:val="21"/>
                <w:szCs w:val="21"/>
              </w:rPr>
              <w:t>知识</w:t>
            </w:r>
          </w:p>
          <w:p>
            <w:pPr>
              <w:rPr>
                <w:rFonts w:ascii="宋体" w:hAnsi="宋体"/>
                <w:b/>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sz w:val="21"/>
                <w:szCs w:val="21"/>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rPr>
                <w:rFonts w:ascii="宋体" w:hAnsi="宋体"/>
                <w:b/>
                <w:sz w:val="21"/>
                <w:szCs w:val="21"/>
              </w:rPr>
            </w:pPr>
            <w:r>
              <w:rPr>
                <w:rFonts w:hint="eastAsia"/>
                <w:sz w:val="21"/>
                <w:szCs w:val="21"/>
              </w:rPr>
              <w:t>配备灭火器。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167" w:hanging="167" w:hangingChars="79"/>
              <w:rPr>
                <w:rFonts w:hint="eastAsia" w:ascii="宋体" w:hAnsi="宋体" w:eastAsia="宋体" w:cs="宋体"/>
                <w:b/>
                <w:sz w:val="21"/>
                <w:szCs w:val="21"/>
              </w:rPr>
            </w:pPr>
            <w:r>
              <w:rPr>
                <w:rFonts w:hint="eastAsia" w:ascii="宋体" w:hAnsi="宋体" w:eastAsia="宋体" w:cs="宋体"/>
                <w:b/>
                <w:sz w:val="21"/>
                <w:szCs w:val="21"/>
              </w:rPr>
              <w:t>2. 组织内部沟通的充分性与效果；（OHSMS员工参与风险管理/健康安全事务的关心和影响力；组织对外联络关注顾客的感受情况、信息交流包括通报相关方的情况等）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0"/>
                <w:szCs w:val="20"/>
              </w:rPr>
            </w:pPr>
            <w:r>
              <w:rPr>
                <w:rFonts w:hint="eastAsia" w:ascii="宋体" w:hAnsi="宋体" w:eastAsia="宋体" w:cs="宋体"/>
                <w:b/>
                <w:color w:val="000000" w:themeColor="text1"/>
                <w:sz w:val="20"/>
                <w:szCs w:val="20"/>
              </w:rPr>
              <w:t>内部沟通的情况：内部沟通方式：</w:t>
            </w:r>
            <w:r>
              <w:rPr>
                <w:rFonts w:hint="eastAsia" w:ascii="宋体" w:hAnsi="宋体" w:eastAsia="宋体" w:cs="宋体"/>
                <w:sz w:val="21"/>
                <w:szCs w:val="21"/>
              </w:rPr>
              <w:t>培训、会议；</w:t>
            </w:r>
          </w:p>
          <w:p>
            <w:pPr>
              <w:spacing w:line="360" w:lineRule="auto"/>
              <w:rPr>
                <w:rFonts w:hint="eastAsia" w:ascii="宋体" w:hAnsi="宋体" w:eastAsia="宋体" w:cs="宋体"/>
                <w:b/>
                <w:color w:val="000000" w:themeColor="text1"/>
                <w:sz w:val="20"/>
                <w:szCs w:val="20"/>
              </w:rPr>
            </w:pPr>
            <w:r>
              <w:rPr>
                <w:rFonts w:hint="eastAsia" w:ascii="宋体" w:hAnsi="宋体" w:eastAsia="宋体" w:cs="宋体"/>
                <w:b/>
                <w:color w:val="000000" w:themeColor="text1"/>
                <w:sz w:val="20"/>
                <w:szCs w:val="20"/>
              </w:rPr>
              <w:t xml:space="preserve">                内部沟通的效果：</w:t>
            </w:r>
            <w:r>
              <w:rPr>
                <w:rFonts w:hint="eastAsia" w:ascii="宋体" w:hAnsi="宋体" w:eastAsia="宋体" w:cs="宋体"/>
                <w:sz w:val="21"/>
                <w:szCs w:val="21"/>
              </w:rPr>
              <w:t>沟通畅通；</w:t>
            </w:r>
          </w:p>
          <w:p>
            <w:pPr>
              <w:spacing w:line="360" w:lineRule="auto"/>
              <w:rPr>
                <w:rFonts w:hint="eastAsia" w:ascii="宋体" w:hAnsi="宋体" w:eastAsia="宋体" w:cs="宋体"/>
                <w:b/>
                <w:color w:val="000000" w:themeColor="text1"/>
                <w:sz w:val="20"/>
                <w:szCs w:val="20"/>
              </w:rPr>
            </w:pPr>
            <w:r>
              <w:rPr>
                <w:rFonts w:hint="eastAsia" w:ascii="宋体" w:hAnsi="宋体" w:eastAsia="宋体" w:cs="宋体"/>
                <w:b/>
                <w:color w:val="000000" w:themeColor="text1"/>
                <w:sz w:val="20"/>
                <w:szCs w:val="20"/>
              </w:rPr>
              <w:t>组织对外联络，关注顾客的感受情况（QMS）：</w:t>
            </w:r>
            <w:r>
              <w:rPr>
                <w:rFonts w:hint="eastAsia" w:ascii="宋体" w:hAnsi="宋体" w:eastAsia="宋体" w:cs="宋体"/>
                <w:sz w:val="21"/>
                <w:szCs w:val="21"/>
              </w:rPr>
              <w:t>定期组织顾客满意度调查和走访。</w:t>
            </w:r>
          </w:p>
          <w:p>
            <w:pPr>
              <w:spacing w:line="360" w:lineRule="auto"/>
              <w:rPr>
                <w:rFonts w:hint="eastAsia" w:ascii="宋体" w:hAnsi="宋体" w:eastAsia="宋体" w:cs="宋体"/>
                <w:b/>
                <w:color w:val="000000" w:themeColor="text1"/>
                <w:sz w:val="20"/>
                <w:szCs w:val="20"/>
              </w:rPr>
            </w:pPr>
            <w:r>
              <w:rPr>
                <w:rFonts w:hint="eastAsia" w:ascii="宋体" w:hAnsi="宋体" w:eastAsia="宋体" w:cs="宋体"/>
                <w:b/>
                <w:color w:val="000000" w:themeColor="text1"/>
                <w:sz w:val="20"/>
                <w:szCs w:val="20"/>
              </w:rPr>
              <w:t>外部信息的接收、成文并答复的情况（E、S填写）：</w:t>
            </w:r>
            <w:r>
              <w:rPr>
                <w:rFonts w:hint="eastAsia" w:ascii="宋体" w:hAnsi="宋体" w:eastAsia="宋体" w:cs="宋体"/>
                <w:sz w:val="21"/>
                <w:szCs w:val="21"/>
              </w:rPr>
              <w:t>参加相关部门组织的会议，接收相关部门下达的通知并在公司内部沟通传达。</w:t>
            </w:r>
          </w:p>
          <w:p>
            <w:pPr>
              <w:spacing w:line="360" w:lineRule="auto"/>
              <w:rPr>
                <w:rFonts w:hint="eastAsia" w:ascii="宋体" w:hAnsi="宋体" w:eastAsia="宋体" w:cs="宋体"/>
                <w:b/>
                <w:color w:val="000000" w:themeColor="text1"/>
                <w:sz w:val="20"/>
                <w:szCs w:val="20"/>
              </w:rPr>
            </w:pPr>
            <w:r>
              <w:rPr>
                <w:rFonts w:hint="eastAsia" w:ascii="宋体" w:hAnsi="宋体" w:eastAsia="宋体" w:cs="宋体"/>
                <w:b/>
                <w:color w:val="000000" w:themeColor="text1"/>
                <w:sz w:val="20"/>
                <w:szCs w:val="20"/>
              </w:rPr>
              <w:t>重要环境因素信息对外交流情况（EMS填写）：</w:t>
            </w:r>
            <w:r>
              <w:rPr>
                <w:rFonts w:hint="eastAsia" w:ascii="宋体" w:hAnsi="宋体" w:eastAsia="宋体" w:cs="宋体"/>
                <w:sz w:val="21"/>
                <w:szCs w:val="21"/>
              </w:rPr>
              <w:t>对供方进行了环保告知。</w:t>
            </w:r>
          </w:p>
          <w:p>
            <w:pPr>
              <w:spacing w:line="360" w:lineRule="auto"/>
              <w:rPr>
                <w:rFonts w:hint="eastAsia" w:ascii="宋体" w:hAnsi="宋体" w:eastAsia="宋体" w:cs="宋体"/>
                <w:szCs w:val="22"/>
              </w:rPr>
            </w:pPr>
            <w:r>
              <w:rPr>
                <w:rFonts w:hint="eastAsia" w:ascii="宋体" w:hAnsi="宋体" w:eastAsia="宋体" w:cs="宋体"/>
                <w:b/>
                <w:color w:val="000000" w:themeColor="text1"/>
                <w:sz w:val="20"/>
                <w:szCs w:val="20"/>
              </w:rPr>
              <w:t>OHSMS事务代表协商和交流的情况（OHSMS填写）：</w:t>
            </w:r>
            <w:r>
              <w:rPr>
                <w:rFonts w:hint="eastAsia" w:ascii="宋体" w:hAnsi="宋体" w:eastAsia="宋体" w:cs="宋体"/>
                <w:sz w:val="21"/>
                <w:szCs w:val="21"/>
              </w:rPr>
              <w:t>公司经选举确定了员工代表是蔺江山，</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宋体" w:hAnsi="宋体" w:eastAsia="宋体" w:cs="宋体"/>
                <w:b/>
                <w:color w:val="000000" w:themeColor="text1"/>
                <w:szCs w:val="21"/>
              </w:rPr>
              <w:t>与相关方协商的情况（OHSMS填写）：</w:t>
            </w:r>
            <w:r>
              <w:rPr>
                <w:rFonts w:hint="eastAsia" w:ascii="宋体" w:hAnsi="宋体" w:eastAsia="宋体" w:cs="宋体"/>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auto"/>
              <w:ind w:firstLine="420" w:firstLineChars="200"/>
              <w:rPr>
                <w:rFonts w:hint="eastAsia" w:ascii="宋体" w:hAnsi="宋体"/>
                <w:sz w:val="21"/>
                <w:szCs w:val="21"/>
                <w:lang w:eastAsia="zh-CN"/>
              </w:rPr>
            </w:pPr>
            <w:r>
              <w:rPr>
                <w:rFonts w:hint="eastAsia" w:ascii="宋体" w:hAnsi="宋体" w:cs="宋体"/>
                <w:sz w:val="21"/>
                <w:szCs w:val="21"/>
              </w:rPr>
              <w:t>公司主要从事</w:t>
            </w:r>
            <w:r>
              <w:rPr>
                <w:rFonts w:hint="eastAsia" w:ascii="宋体" w:hAnsi="宋体"/>
                <w:sz w:val="21"/>
                <w:szCs w:val="21"/>
              </w:rPr>
              <w:t>办公家具、体育器材 、健身器材、实验器材、多媒体教学专用设备、塑胶跑道、学生桌椅、儿童娱乐玩具（涉及安全危险的除外）的销售</w:t>
            </w:r>
            <w:r>
              <w:rPr>
                <w:rFonts w:hint="eastAsia" w:ascii="宋体" w:hAnsi="宋体"/>
                <w:sz w:val="21"/>
                <w:szCs w:val="21"/>
                <w:lang w:eastAsia="zh-CN"/>
              </w:rPr>
              <w:t>。</w:t>
            </w:r>
          </w:p>
          <w:p>
            <w:pPr>
              <w:spacing w:line="240" w:lineRule="auto"/>
              <w:ind w:firstLine="420" w:firstLineChars="200"/>
              <w:rPr>
                <w:rFonts w:hint="eastAsia"/>
                <w:sz w:val="21"/>
                <w:szCs w:val="21"/>
              </w:rPr>
            </w:pPr>
            <w:r>
              <w:rPr>
                <w:rFonts w:hint="eastAsia"/>
                <w:sz w:val="21"/>
                <w:szCs w:val="21"/>
              </w:rPr>
              <w:t>销售流程</w:t>
            </w:r>
            <w:r>
              <w:rPr>
                <w:rFonts w:hint="eastAsia"/>
                <w:sz w:val="21"/>
                <w:szCs w:val="21"/>
                <w:lang w:val="en-US" w:eastAsia="zh-CN"/>
              </w:rPr>
              <w:t>为</w:t>
            </w:r>
            <w:r>
              <w:rPr>
                <w:rFonts w:hint="eastAsia"/>
                <w:sz w:val="21"/>
                <w:szCs w:val="21"/>
              </w:rPr>
              <w:t>：</w:t>
            </w:r>
            <w:r>
              <w:rPr>
                <w:rFonts w:hint="eastAsia" w:ascii="宋体" w:hAnsi="宋体" w:cs="宋体"/>
                <w:sz w:val="21"/>
                <w:szCs w:val="21"/>
              </w:rPr>
              <w:t>招投标/业务洽谈→合同评审→采购→检验→交付；</w:t>
            </w:r>
          </w:p>
          <w:p>
            <w:pPr>
              <w:spacing w:line="240" w:lineRule="auto"/>
              <w:ind w:firstLine="420" w:firstLineChars="200"/>
              <w:rPr>
                <w:rFonts w:ascii="宋体" w:hAnsi="宋体" w:cs="宋体"/>
                <w:sz w:val="21"/>
                <w:szCs w:val="21"/>
              </w:rPr>
            </w:pPr>
            <w:r>
              <w:rPr>
                <w:rFonts w:hint="eastAsia" w:ascii="宋体" w:hAnsi="宋体" w:cs="宋体"/>
                <w:sz w:val="21"/>
                <w:szCs w:val="21"/>
              </w:rPr>
              <w:t>特殊过程是销售服务，提供特殊过程的《特殊过程确认记录》，对销售过程进行了过程确认。</w:t>
            </w:r>
          </w:p>
          <w:p>
            <w:pPr>
              <w:spacing w:line="240" w:lineRule="auto"/>
              <w:ind w:firstLine="420" w:firstLineChars="200"/>
              <w:rPr>
                <w:rFonts w:ascii="宋体" w:hAnsi="宋体" w:cs="宋体"/>
                <w:sz w:val="21"/>
                <w:szCs w:val="21"/>
              </w:rPr>
            </w:pPr>
            <w:r>
              <w:rPr>
                <w:rFonts w:hint="eastAsia" w:ascii="宋体" w:hAnsi="宋体" w:cs="宋体"/>
                <w:sz w:val="21"/>
                <w:szCs w:val="21"/>
              </w:rPr>
              <w:t>公司依据客户订单，下达采购计划，进行销售服务、质量及管理工作协调。</w:t>
            </w:r>
          </w:p>
          <w:p>
            <w:pPr>
              <w:spacing w:line="240" w:lineRule="auto"/>
              <w:ind w:firstLine="420" w:firstLineChars="200"/>
              <w:rPr>
                <w:rFonts w:ascii="宋体" w:hAnsi="宋体" w:cs="宋体"/>
                <w:sz w:val="21"/>
                <w:szCs w:val="21"/>
              </w:rPr>
            </w:pPr>
            <w:r>
              <w:rPr>
                <w:rFonts w:hint="eastAsia" w:ascii="宋体" w:hAnsi="宋体" w:cs="宋体"/>
                <w:sz w:val="21"/>
                <w:szCs w:val="21"/>
              </w:rPr>
              <w:t>通过采购产品检验、销售过程检验等对产品质量、销售服务质量等进行监控。</w:t>
            </w:r>
          </w:p>
          <w:p>
            <w:pPr>
              <w:spacing w:line="240" w:lineRule="auto"/>
              <w:ind w:firstLine="420" w:firstLineChars="200"/>
              <w:rPr>
                <w:rFonts w:ascii="宋体" w:hAnsi="宋体" w:cs="宋体"/>
                <w:sz w:val="21"/>
                <w:szCs w:val="21"/>
              </w:rPr>
            </w:pPr>
            <w:r>
              <w:rPr>
                <w:rFonts w:hint="eastAsia" w:ascii="宋体" w:hAnsi="宋体" w:cs="宋体"/>
                <w:sz w:val="21"/>
                <w:szCs w:val="21"/>
              </w:rPr>
              <w:t>为销售服务过程提供了适宜的设备及环境，配备了胜任的人员。</w:t>
            </w:r>
          </w:p>
          <w:p>
            <w:pPr>
              <w:spacing w:line="240" w:lineRule="auto"/>
              <w:ind w:firstLine="420" w:firstLineChars="200"/>
              <w:rPr>
                <w:rFonts w:hint="eastAsia" w:ascii="宋体" w:hAnsi="宋体" w:eastAsia="宋体"/>
                <w:b/>
                <w:sz w:val="21"/>
                <w:szCs w:val="21"/>
                <w:lang w:eastAsia="zh-CN"/>
              </w:rPr>
            </w:pPr>
            <w:r>
              <w:rPr>
                <w:rFonts w:hint="eastAsia" w:ascii="宋体" w:hAnsi="宋体" w:cs="宋体"/>
                <w:sz w:val="21"/>
                <w:szCs w:val="21"/>
              </w:rPr>
              <w:t>对供方进行调查评价</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rPr>
                <w:rFonts w:hint="eastAsia" w:ascii="宋体" w:hAnsi="宋体"/>
                <w:b w:val="0"/>
                <w:bCs/>
                <w:sz w:val="21"/>
                <w:szCs w:val="21"/>
              </w:rPr>
            </w:pPr>
            <w:r>
              <w:rPr>
                <w:rFonts w:hint="eastAsia" w:ascii="宋体" w:hAnsi="宋体"/>
                <w:b w:val="0"/>
                <w:bCs/>
                <w:sz w:val="21"/>
                <w:szCs w:val="21"/>
              </w:rPr>
              <w:t>企业执行的法律法规和标准规范：GB19272-2011室外健身器材的安全 通用要求、GB/T19851-2005中小学体育器材和场地</w:t>
            </w:r>
            <w:r>
              <w:rPr>
                <w:rFonts w:hint="eastAsia" w:ascii="宋体" w:hAnsi="宋体"/>
                <w:b w:val="0"/>
                <w:bCs/>
                <w:sz w:val="21"/>
                <w:szCs w:val="21"/>
                <w:lang w:eastAsia="zh-CN"/>
              </w:rPr>
              <w:t>、</w:t>
            </w:r>
            <w:r>
              <w:rPr>
                <w:rFonts w:hint="eastAsia" w:ascii="宋体" w:hAnsi="宋体"/>
                <w:b w:val="0"/>
                <w:bCs/>
                <w:sz w:val="21"/>
                <w:szCs w:val="21"/>
              </w:rPr>
              <w:t>GB21748-2008教学仪器设备安全要求  仪器和零部件的基本要求、GB19722-2011室外健身器材的安全 通用要求</w:t>
            </w:r>
            <w:r>
              <w:rPr>
                <w:rFonts w:hint="eastAsia" w:ascii="宋体" w:hAnsi="宋体"/>
                <w:b w:val="0"/>
                <w:bCs/>
                <w:sz w:val="21"/>
                <w:szCs w:val="21"/>
              </w:rPr>
              <w:tab/>
            </w:r>
            <w:r>
              <w:rPr>
                <w:rFonts w:hint="eastAsia" w:ascii="宋体" w:hAnsi="宋体"/>
                <w:b w:val="0"/>
                <w:bCs/>
                <w:sz w:val="21"/>
                <w:szCs w:val="21"/>
              </w:rPr>
              <w:t>等及和客户要求。</w:t>
            </w:r>
          </w:p>
          <w:p>
            <w:pPr>
              <w:spacing w:line="360" w:lineRule="auto"/>
              <w:rPr>
                <w:rFonts w:ascii="宋体" w:hAnsi="宋体"/>
                <w:b w:val="0"/>
                <w:bCs/>
                <w:sz w:val="21"/>
                <w:szCs w:val="21"/>
              </w:rPr>
            </w:pPr>
            <w:r>
              <w:rPr>
                <w:rFonts w:hint="eastAsia" w:ascii="宋体" w:hAnsi="宋体"/>
                <w:b w:val="0"/>
                <w:bCs/>
                <w:sz w:val="21"/>
                <w:szCs w:val="21"/>
              </w:rPr>
              <w:t>提供了产品检验记录，产品检验合格，满足顾客要求。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rPr>
                <w:rFonts w:ascii="宋体" w:hAnsi="宋体"/>
                <w:b/>
                <w:sz w:val="21"/>
                <w:szCs w:val="21"/>
              </w:rPr>
            </w:pP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360" w:lineRule="auto"/>
              <w:ind w:leftChars="0" w:firstLine="420" w:firstLineChars="200"/>
              <w:rPr>
                <w:rFonts w:ascii="宋体" w:hAnsi="宋体"/>
                <w:b/>
                <w:sz w:val="21"/>
                <w:szCs w:val="21"/>
              </w:rPr>
            </w:pPr>
            <w:r>
              <w:rPr>
                <w:rFonts w:hint="eastAsia" w:ascii="宋体" w:hAnsi="宋体" w:cs="宋体"/>
                <w:sz w:val="21"/>
                <w:szCs w:val="21"/>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1、废水管控：企业无工业废水，厂区生活废水流入市政管网。</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2、废气管控：无废气排放。</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3、噪声管控：无噪声排放。</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4、固废管控：办公废旧硒鼓/墨盒，由供应商回收。生活垃圾由当地环卫所处理，公司缴纳处理费。</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能源资源管控：注意节水、节电，人走关闭设备和照明开关，现场未发现有漏水和浪费电能的现象。</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pPr>
              <w:spacing w:line="360" w:lineRule="auto"/>
              <w:rPr>
                <w:rFonts w:ascii="宋体" w:hAnsi="宋体"/>
                <w:b/>
                <w:sz w:val="21"/>
                <w:szCs w:val="21"/>
              </w:rPr>
            </w:pPr>
            <w:r>
              <w:rPr>
                <w:rFonts w:hint="eastAsia" w:ascii="宋体" w:hAnsi="宋体" w:cs="宋体"/>
                <w:sz w:val="21"/>
                <w:szCs w:val="21"/>
              </w:rPr>
              <w:t>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360" w:lineRule="auto"/>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360" w:lineRule="auto"/>
              <w:rPr>
                <w:rFonts w:ascii="宋体" w:hAnsi="宋体"/>
                <w:b/>
                <w:sz w:val="21"/>
                <w:szCs w:val="21"/>
              </w:rPr>
            </w:pPr>
            <w:r>
              <w:rPr>
                <w:rFonts w:hint="eastAsia" w:ascii="宋体" w:hAnsi="宋体"/>
                <w:b w:val="0"/>
                <w:bCs/>
                <w:sz w:val="21"/>
                <w:szCs w:val="21"/>
              </w:rPr>
              <w:t>制定了火灾、触电、人身伤害等应急预案，2019.10.</w:t>
            </w:r>
            <w:r>
              <w:rPr>
                <w:rFonts w:hint="eastAsia" w:ascii="宋体" w:hAnsi="宋体"/>
                <w:b w:val="0"/>
                <w:bCs/>
                <w:sz w:val="21"/>
                <w:szCs w:val="21"/>
                <w:lang w:val="en-US" w:eastAsia="zh-CN"/>
              </w:rPr>
              <w:t>26</w:t>
            </w:r>
            <w:r>
              <w:rPr>
                <w:rFonts w:hint="eastAsia" w:ascii="宋体" w:hAnsi="宋体"/>
                <w:b w:val="0"/>
                <w:bCs/>
                <w:sz w:val="21"/>
                <w:szCs w:val="21"/>
              </w:rPr>
              <w:t>进行了应急演练，对预案可行性进行了评价</w:t>
            </w:r>
            <w:r>
              <w:rPr>
                <w:rFonts w:hint="eastAsia" w:ascii="宋体" w:hAnsi="宋体"/>
                <w:b w:val="0"/>
                <w:bCs/>
                <w:sz w:val="21"/>
                <w:szCs w:val="21"/>
                <w:lang w:eastAsia="zh-CN"/>
              </w:rPr>
              <w:t>，</w:t>
            </w:r>
            <w:r>
              <w:rPr>
                <w:rFonts w:hint="eastAsia" w:ascii="宋体" w:hAnsi="宋体"/>
                <w:b w:val="0"/>
                <w:bCs/>
                <w:sz w:val="21"/>
                <w:szCs w:val="21"/>
              </w:rPr>
              <w:t>配有消防器材。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jc w:val="left"/>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hint="eastAsia" w:ascii="宋体" w:hAnsi="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sz w:val="21"/>
                <w:szCs w:val="21"/>
                <w:lang w:val="en-US" w:eastAsia="zh-CN"/>
              </w:rPr>
              <w:t xml:space="preserve">  </w:t>
            </w:r>
          </w:p>
          <w:p>
            <w:pPr>
              <w:spacing w:line="360" w:lineRule="auto"/>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360" w:lineRule="auto"/>
              <w:ind w:firstLine="105" w:firstLineChars="50"/>
              <w:rPr>
                <w:rFonts w:ascii="宋体" w:hAnsi="宋体"/>
                <w:b/>
                <w:sz w:val="21"/>
                <w:szCs w:val="21"/>
              </w:rPr>
            </w:pPr>
            <w:r>
              <w:rPr>
                <w:rFonts w:hint="eastAsia" w:ascii="宋体" w:hAnsi="宋体" w:eastAsia="宋体" w:cs="宋体"/>
                <w:sz w:val="21"/>
                <w:szCs w:val="21"/>
              </w:rPr>
              <w:t>提供目标完成统计表，20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5</w:t>
            </w:r>
            <w:r>
              <w:rPr>
                <w:rFonts w:hint="eastAsia" w:ascii="宋体" w:hAnsi="宋体" w:eastAsia="宋体" w:cs="宋体"/>
                <w:sz w:val="21"/>
                <w:szCs w:val="21"/>
              </w:rPr>
              <w:t>日考核管理目标均已完成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360" w:lineRule="auto"/>
              <w:ind w:left="105" w:hanging="105" w:hangingChars="50"/>
              <w:rPr>
                <w:rFonts w:hint="eastAsia" w:ascii="宋体" w:hAnsi="宋体"/>
                <w:b/>
                <w:sz w:val="21"/>
                <w:szCs w:val="21"/>
              </w:rPr>
            </w:pPr>
            <w:r>
              <w:rPr>
                <w:rFonts w:hint="eastAsia" w:ascii="宋体" w:hAnsi="宋体"/>
                <w:b/>
                <w:sz w:val="21"/>
                <w:szCs w:val="21"/>
              </w:rPr>
              <w:t>顾客满意</w:t>
            </w:r>
          </w:p>
          <w:p>
            <w:pPr>
              <w:tabs>
                <w:tab w:val="left" w:pos="6597"/>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公司通过拜访、电话、电邮、问卷等形式，收集顾客反馈信息，监视顾客满意程度，评价体系的有效性，寻求体系改进的机会。</w:t>
            </w:r>
          </w:p>
          <w:p>
            <w:pPr>
              <w:tabs>
                <w:tab w:val="left" w:pos="6597"/>
              </w:tabs>
              <w:spacing w:line="360" w:lineRule="auto"/>
              <w:ind w:firstLine="420" w:firstLineChars="200"/>
              <w:rPr>
                <w:rFonts w:hint="default" w:ascii="宋体" w:hAnsi="宋体" w:eastAsia="宋体" w:cs="宋体"/>
                <w:color w:val="FF0000"/>
                <w:sz w:val="21"/>
                <w:szCs w:val="21"/>
                <w:lang w:val="en-US" w:eastAsia="zh-CN"/>
              </w:rPr>
            </w:pPr>
            <w:r>
              <w:rPr>
                <w:rFonts w:hint="eastAsia" w:ascii="宋体" w:hAnsi="宋体" w:cs="宋体"/>
                <w:color w:val="FF0000"/>
                <w:sz w:val="21"/>
                <w:szCs w:val="21"/>
                <w:lang w:val="en-US" w:eastAsia="zh-CN"/>
              </w:rPr>
              <w:t>未</w:t>
            </w:r>
            <w:r>
              <w:rPr>
                <w:rFonts w:hint="eastAsia" w:ascii="宋体" w:hAnsi="宋体" w:eastAsia="宋体" w:cs="宋体"/>
                <w:color w:val="FF0000"/>
                <w:sz w:val="21"/>
                <w:szCs w:val="21"/>
              </w:rPr>
              <w:t>提供“顾客满意度调查表”，</w:t>
            </w:r>
            <w:r>
              <w:rPr>
                <w:rFonts w:hint="eastAsia" w:ascii="宋体" w:hAnsi="宋体" w:cs="宋体"/>
                <w:color w:val="FF0000"/>
                <w:sz w:val="21"/>
                <w:szCs w:val="21"/>
                <w:lang w:val="en-US" w:eastAsia="zh-CN"/>
              </w:rPr>
              <w:t>已开具不符合。</w:t>
            </w:r>
          </w:p>
          <w:p>
            <w:pPr>
              <w:tabs>
                <w:tab w:val="left" w:pos="6597"/>
              </w:tabs>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业务部</w:t>
            </w:r>
            <w:r>
              <w:rPr>
                <w:rFonts w:hint="eastAsia" w:ascii="宋体" w:hAnsi="宋体" w:eastAsia="宋体" w:cs="宋体"/>
                <w:sz w:val="21"/>
                <w:szCs w:val="21"/>
              </w:rPr>
              <w:t>经理介绍暂无顾客投诉情况发生，日常顾客的反馈均是一些小问题都已及时处理，处理后顾客满意，但是未保留相关记录，进行了交流改进。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rPr>
                <w:rFonts w:hint="eastAsia" w:ascii="宋体" w:hAnsi="宋体" w:eastAsia="宋体"/>
                <w:b/>
                <w:sz w:val="21"/>
                <w:szCs w:val="21"/>
                <w:lang w:eastAsia="zh-CN"/>
              </w:rPr>
            </w:pPr>
            <w:r>
              <w:rPr>
                <w:rFonts w:hint="eastAsia"/>
                <w:b/>
                <w:color w:val="000000" w:themeColor="text1"/>
                <w:sz w:val="20"/>
                <w:szCs w:val="20"/>
              </w:rPr>
              <w:t>了解内审的策划</w:t>
            </w:r>
            <w:r>
              <w:rPr>
                <w:rFonts w:hint="eastAsia"/>
                <w:b/>
                <w:color w:val="000000" w:themeColor="text1"/>
                <w:sz w:val="20"/>
                <w:szCs w:val="20"/>
                <w:lang w:eastAsia="zh-CN"/>
              </w:rPr>
              <w:t>：</w:t>
            </w:r>
          </w:p>
          <w:p>
            <w:pPr>
              <w:spacing w:line="360" w:lineRule="auto"/>
              <w:jc w:val="left"/>
              <w:rPr>
                <w:b/>
                <w:color w:val="000000" w:themeColor="text1"/>
                <w:sz w:val="20"/>
                <w:szCs w:val="20"/>
              </w:rPr>
            </w:pPr>
            <w:r>
              <w:rPr>
                <w:rFonts w:hint="eastAsia"/>
                <w:b/>
                <w:color w:val="000000" w:themeColor="text1"/>
                <w:sz w:val="20"/>
                <w:szCs w:val="20"/>
              </w:rPr>
              <w:t xml:space="preserve"> </w:t>
            </w:r>
            <w:r>
              <w:rPr>
                <w:rFonts w:hint="eastAsia" w:ascii="宋体" w:hAnsi="宋体" w:cs="宋体"/>
                <w:szCs w:val="22"/>
              </w:rPr>
              <w:t xml:space="preserve"> </w:t>
            </w:r>
            <w:r>
              <w:rPr>
                <w:rFonts w:hint="eastAsia" w:ascii="宋体" w:hAnsi="宋体" w:cs="宋体"/>
                <w:sz w:val="21"/>
                <w:szCs w:val="21"/>
              </w:rPr>
              <w:t>每年一次，本次2021年1月4日内审。</w:t>
            </w:r>
          </w:p>
          <w:p>
            <w:pPr>
              <w:spacing w:line="360" w:lineRule="auto"/>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360" w:lineRule="auto"/>
              <w:rPr>
                <w:rFonts w:hint="eastAsia"/>
                <w:b/>
                <w:color w:val="000000" w:themeColor="text1"/>
                <w:sz w:val="20"/>
                <w:szCs w:val="20"/>
              </w:rPr>
            </w:pPr>
            <w:r>
              <w:rPr>
                <w:rFonts w:hint="eastAsia"/>
                <w:b/>
                <w:color w:val="000000" w:themeColor="text1"/>
                <w:sz w:val="20"/>
                <w:szCs w:val="20"/>
              </w:rPr>
              <w:t>了解内审结论是什么？</w:t>
            </w:r>
          </w:p>
          <w:p>
            <w:pPr>
              <w:spacing w:line="360" w:lineRule="auto"/>
              <w:ind w:firstLine="420" w:firstLineChars="200"/>
              <w:rPr>
                <w:rFonts w:ascii="宋体" w:hAnsi="宋体"/>
                <w:b/>
                <w:sz w:val="21"/>
                <w:szCs w:val="21"/>
              </w:rPr>
            </w:pPr>
            <w:r>
              <w:rPr>
                <w:rFonts w:hint="eastAsia" w:asciiTheme="minorEastAsia" w:hAnsiTheme="minorEastAsia" w:eastAsiaTheme="minor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了解管理评审的策划</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每年一次，</w:t>
            </w:r>
            <w:r>
              <w:rPr>
                <w:rFonts w:hint="eastAsia" w:ascii="宋体" w:hAnsi="宋体" w:eastAsia="宋体" w:cs="宋体"/>
                <w:sz w:val="21"/>
                <w:szCs w:val="21"/>
              </w:rPr>
              <w:t>202</w:t>
            </w:r>
            <w:r>
              <w:rPr>
                <w:rFonts w:hint="eastAsia" w:ascii="宋体" w:hAnsi="宋体" w:cs="宋体"/>
                <w:sz w:val="21"/>
                <w:szCs w:val="21"/>
                <w:lang w:val="en-US" w:eastAsia="zh-CN"/>
              </w:rPr>
              <w:t>1</w:t>
            </w:r>
            <w:r>
              <w:rPr>
                <w:rFonts w:hint="eastAsia" w:ascii="宋体" w:hAnsi="宋体" w:eastAsia="宋体" w:cs="宋体"/>
                <w:sz w:val="21"/>
                <w:szCs w:val="21"/>
              </w:rPr>
              <w:t>年01月</w:t>
            </w:r>
            <w:r>
              <w:rPr>
                <w:rFonts w:hint="eastAsia" w:ascii="宋体" w:hAnsi="宋体" w:cs="宋体"/>
                <w:sz w:val="21"/>
                <w:szCs w:val="21"/>
                <w:lang w:val="en-US" w:eastAsia="zh-CN"/>
              </w:rPr>
              <w:t>28</w:t>
            </w:r>
            <w:r>
              <w:rPr>
                <w:rFonts w:hint="eastAsia" w:ascii="宋体" w:hAnsi="宋体" w:eastAsia="宋体" w:cs="宋体"/>
                <w:sz w:val="21"/>
                <w:szCs w:val="21"/>
              </w:rPr>
              <w:t>日</w:t>
            </w:r>
            <w:r>
              <w:rPr>
                <w:rFonts w:hint="eastAsia" w:ascii="宋体" w:hAnsi="宋体" w:cs="宋体"/>
                <w:sz w:val="21"/>
                <w:szCs w:val="21"/>
              </w:rPr>
              <w:t>管理评审。</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了解管理评审输入是否充分</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360" w:lineRule="auto"/>
              <w:rPr>
                <w:rFonts w:hint="eastAsia"/>
                <w:b/>
                <w:color w:val="000000" w:themeColor="text1"/>
                <w:sz w:val="20"/>
                <w:szCs w:val="20"/>
                <w:lang w:eastAsia="zh-CN"/>
              </w:rPr>
            </w:pPr>
            <w:r>
              <w:rPr>
                <w:rFonts w:hint="eastAsia"/>
                <w:b/>
                <w:color w:val="000000" w:themeColor="text1"/>
                <w:sz w:val="20"/>
                <w:szCs w:val="20"/>
              </w:rPr>
              <w:t>了解管理评审结论</w:t>
            </w:r>
            <w:r>
              <w:rPr>
                <w:rFonts w:hint="eastAsia"/>
                <w:b/>
                <w:color w:val="000000" w:themeColor="text1"/>
                <w:sz w:val="20"/>
                <w:szCs w:val="20"/>
                <w:lang w:eastAsia="zh-CN"/>
              </w:rPr>
              <w:t>：</w:t>
            </w:r>
          </w:p>
          <w:p>
            <w:pPr>
              <w:spacing w:line="360" w:lineRule="auto"/>
              <w:rPr>
                <w:rFonts w:ascii="宋体" w:hAnsi="宋体"/>
                <w:b/>
                <w:sz w:val="21"/>
                <w:szCs w:val="21"/>
              </w:rPr>
            </w:pPr>
            <w:r>
              <w:rPr>
                <w:rFonts w:hint="eastAsia"/>
                <w:sz w:val="24"/>
                <w:lang w:val="en-US" w:eastAsia="zh-CN"/>
              </w:rPr>
              <w:t xml:space="preserve">   </w:t>
            </w:r>
            <w:r>
              <w:rPr>
                <w:rFonts w:hint="eastAsia"/>
                <w:sz w:val="21"/>
                <w:szCs w:val="21"/>
              </w:rPr>
              <w:t>公司的质量、环境和职业健康安全管理体系基本适宜、充分和有效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360" w:lineRule="auto"/>
              <w:rPr>
                <w:rFonts w:ascii="宋体" w:hAnsi="宋体"/>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ind w:firstLine="210" w:firstLineChars="100"/>
              <w:rPr>
                <w:rFonts w:ascii="宋体" w:hAnsi="宋体"/>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 xml:space="preserve"> </w:t>
            </w:r>
          </w:p>
          <w:p>
            <w:pPr>
              <w:spacing w:line="240" w:lineRule="exact"/>
              <w:rPr>
                <w:rFonts w:ascii="宋体" w:hAnsi="宋体"/>
                <w:b/>
                <w:sz w:val="21"/>
                <w:szCs w:val="21"/>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ascii="宋体" w:hAnsi="宋体"/>
                <w:b/>
                <w:sz w:val="21"/>
                <w:szCs w:val="21"/>
                <w:lang w:val="en-US" w:eastAsia="zh-CN"/>
              </w:rPr>
            </w:pPr>
          </w:p>
          <w:p>
            <w:pPr>
              <w:widowControl/>
              <w:numPr>
                <w:ilvl w:val="0"/>
                <w:numId w:val="0"/>
              </w:numPr>
              <w:spacing w:line="240" w:lineRule="exact"/>
              <w:ind w:left="0" w:leftChars="0" w:firstLine="210" w:firstLineChars="100"/>
              <w:rPr>
                <w:rFonts w:ascii="宋体" w:hAnsi="宋体"/>
                <w:b/>
                <w:sz w:val="21"/>
                <w:szCs w:val="21"/>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360" w:lineRule="auto"/>
              <w:jc w:val="left"/>
              <w:rPr>
                <w:rFonts w:hint="eastAsia"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ind w:firstLine="210" w:firstLineChars="100"/>
              <w:jc w:val="left"/>
              <w:rPr>
                <w:rFonts w:ascii="宋体" w:hAnsi="宋体"/>
                <w:b/>
                <w:sz w:val="21"/>
                <w:szCs w:val="21"/>
              </w:rPr>
            </w:pPr>
            <w:r>
              <w:rPr>
                <w:rFonts w:hint="eastAsia" w:ascii="宋体" w:hAnsi="宋体"/>
                <w:b w:val="0"/>
                <w:bCs/>
                <w:sz w:val="2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210" w:firstLineChars="100"/>
              <w:rPr>
                <w:rFonts w:ascii="宋体" w:hAnsi="宋体"/>
                <w:b/>
                <w:sz w:val="21"/>
                <w:szCs w:val="21"/>
              </w:rPr>
            </w:pPr>
            <w:r>
              <w:rPr>
                <w:rFonts w:hint="eastAsia"/>
                <w:bCs/>
                <w:color w:val="000000" w:themeColor="text1"/>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firstLine="210" w:firstLineChars="100"/>
              <w:rPr>
                <w:rFonts w:hint="eastAsia" w:ascii="宋体" w:hAnsi="宋体" w:eastAsia="宋体"/>
                <w:b w:val="0"/>
                <w:bCs/>
                <w:sz w:val="21"/>
                <w:szCs w:val="21"/>
                <w:lang w:val="en-US" w:eastAsia="zh-CN"/>
              </w:rPr>
            </w:pPr>
            <w:r>
              <w:rPr>
                <w:rFonts w:hint="eastAsia" w:ascii="宋体" w:hAnsi="宋体"/>
                <w:b w:val="0"/>
                <w:bCs/>
                <w:sz w:val="21"/>
                <w:szCs w:val="21"/>
                <w:lang w:val="en-US" w:eastAsia="zh-CN"/>
              </w:rPr>
              <w:t>无</w:t>
            </w:r>
          </w:p>
          <w:p>
            <w:pPr>
              <w:numPr>
                <w:ilvl w:val="0"/>
                <w:numId w:val="0"/>
              </w:num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360" w:lineRule="auto"/>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120" w:leftChars="-50" w:firstLine="0" w:firstLineChars="0"/>
              <w:rPr>
                <w:rFonts w:ascii="宋体" w:hAnsi="宋体"/>
                <w:b/>
                <w:sz w:val="21"/>
                <w:szCs w:val="21"/>
              </w:rPr>
            </w:pPr>
            <w:r>
              <w:rPr>
                <w:rFonts w:hint="eastAsia" w:ascii="宋体" w:hAnsi="宋体" w:eastAsia="宋体" w:cs="宋体"/>
                <w:color w:val="000000"/>
                <w:sz w:val="21"/>
                <w:szCs w:val="21"/>
              </w:rPr>
              <w:t>上次审核发现</w:t>
            </w:r>
            <w:r>
              <w:rPr>
                <w:rFonts w:hint="eastAsia" w:ascii="宋体" w:hAnsi="宋体" w:eastAsia="宋体" w:cs="宋体"/>
                <w:color w:val="000000"/>
                <w:sz w:val="21"/>
                <w:szCs w:val="21"/>
                <w:lang w:val="en-US" w:eastAsia="zh-CN"/>
              </w:rPr>
              <w:t>的</w:t>
            </w:r>
            <w:r>
              <w:rPr>
                <w:rFonts w:hint="eastAsia" w:ascii="宋体" w:hAnsi="宋体" w:eastAsia="宋体" w:cs="宋体"/>
                <w:color w:val="000000"/>
                <w:sz w:val="21"/>
                <w:szCs w:val="21"/>
              </w:rPr>
              <w:t>一般不符合项，经现场查验均按要求进行了整改，验证合格。</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210" w:firstLineChars="100"/>
              <w:rPr>
                <w:rFonts w:ascii="宋体" w:hAnsi="宋体"/>
                <w:b/>
                <w:szCs w:val="21"/>
              </w:rPr>
            </w:pPr>
            <w:r>
              <w:rPr>
                <w:rFonts w:hint="eastAsia" w:ascii="宋体" w:hAnsi="宋体" w:cs="宋体"/>
                <w:bCs/>
                <w:color w:val="000000" w:themeColor="text1"/>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1812925</wp:posOffset>
            </wp:positionH>
            <wp:positionV relativeFrom="paragraph">
              <wp:posOffset>301625</wp:posOffset>
            </wp:positionV>
            <wp:extent cx="338455" cy="268605"/>
            <wp:effectExtent l="0" t="0" r="4445"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38455" cy="26860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rFonts w:hint="eastAsia"/>
          <w:b/>
          <w:sz w:val="21"/>
        </w:rPr>
      </w:pPr>
    </w:p>
    <w:p>
      <w:pPr>
        <w:snapToGrid w:val="0"/>
        <w:spacing w:before="163" w:beforeLines="50" w:line="320" w:lineRule="exact"/>
        <w:ind w:firstLine="600" w:firstLineChars="250"/>
        <w:rPr>
          <w:b/>
          <w:sz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1776095</wp:posOffset>
            </wp:positionH>
            <wp:positionV relativeFrom="paragraph">
              <wp:posOffset>19050</wp:posOffset>
            </wp:positionV>
            <wp:extent cx="387985" cy="393065"/>
            <wp:effectExtent l="0" t="0" r="5715" b="635"/>
            <wp:wrapNone/>
            <wp:docPr id="103" name="图片 103" descr="15ca14fda995c83afd557b45c5e1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15ca14fda995c83afd557b45c5e19cf"/>
                    <pic:cNvPicPr>
                      <a:picLocks noChangeAspect="1"/>
                    </pic:cNvPicPr>
                  </pic:nvPicPr>
                  <pic:blipFill>
                    <a:blip r:embed="rId7"/>
                    <a:stretch>
                      <a:fillRect/>
                    </a:stretch>
                  </pic:blipFill>
                  <pic:spPr>
                    <a:xfrm>
                      <a:off x="0" y="0"/>
                      <a:ext cx="387985" cy="39306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2021.6.6</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default" w:eastAsia="宋体"/>
          <w:b/>
          <w:sz w:val="21"/>
          <w:szCs w:val="21"/>
          <w:u w:val="single"/>
          <w:lang w:val="en-US" w:eastAsia="zh-CN"/>
        </w:rPr>
      </w:pPr>
      <w:r>
        <w:drawing>
          <wp:anchor distT="0" distB="0" distL="114300" distR="114300" simplePos="0" relativeHeight="251662336" behindDoc="0" locked="0" layoutInCell="1" allowOverlap="1">
            <wp:simplePos x="0" y="0"/>
            <wp:positionH relativeFrom="column">
              <wp:posOffset>1254125</wp:posOffset>
            </wp:positionH>
            <wp:positionV relativeFrom="paragraph">
              <wp:posOffset>58420</wp:posOffset>
            </wp:positionV>
            <wp:extent cx="338455" cy="268605"/>
            <wp:effectExtent l="0" t="0" r="4445" b="1079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38455" cy="268605"/>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2021.6.10</w:t>
      </w:r>
      <w:bookmarkStart w:id="27" w:name="_GoBack"/>
      <w:bookmarkEnd w:id="27"/>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AA80F"/>
    <w:multiLevelType w:val="singleLevel"/>
    <w:tmpl w:val="98AAA80F"/>
    <w:lvl w:ilvl="0" w:tentative="0">
      <w:start w:val="2"/>
      <w:numFmt w:val="decimal"/>
      <w:suff w:val="nothing"/>
      <w:lvlText w:val="%1．"/>
      <w:lvlJc w:val="left"/>
    </w:lvl>
  </w:abstractNum>
  <w:abstractNum w:abstractNumId="1">
    <w:nsid w:val="A5EFDACC"/>
    <w:multiLevelType w:val="singleLevel"/>
    <w:tmpl w:val="A5EFDACC"/>
    <w:lvl w:ilvl="0" w:tentative="0">
      <w:start w:val="2"/>
      <w:numFmt w:val="decimal"/>
      <w:lvlText w:val="%1."/>
      <w:lvlJc w:val="left"/>
      <w:pPr>
        <w:tabs>
          <w:tab w:val="left" w:pos="312"/>
        </w:tabs>
      </w:pPr>
    </w:lvl>
  </w:abstractNum>
  <w:abstractNum w:abstractNumId="2">
    <w:nsid w:val="04107B6D"/>
    <w:multiLevelType w:val="singleLevel"/>
    <w:tmpl w:val="04107B6D"/>
    <w:lvl w:ilvl="0" w:tentative="0">
      <w:start w:val="8"/>
      <w:numFmt w:val="decimal"/>
      <w:suff w:val="space"/>
      <w:lvlText w:val="%1."/>
      <w:lvlJc w:val="left"/>
    </w:lvl>
  </w:abstractNum>
  <w:abstractNum w:abstractNumId="3">
    <w:nsid w:val="1B5361FE"/>
    <w:multiLevelType w:val="singleLevel"/>
    <w:tmpl w:val="1B5361FE"/>
    <w:lvl w:ilvl="0" w:tentative="0">
      <w:start w:val="2"/>
      <w:numFmt w:val="decimal"/>
      <w:suff w:val="nothing"/>
      <w:lvlText w:val="%1、"/>
      <w:lvlJc w:val="left"/>
    </w:lvl>
  </w:abstractNum>
  <w:abstractNum w:abstractNumId="4">
    <w:nsid w:val="3AEF9440"/>
    <w:multiLevelType w:val="singleLevel"/>
    <w:tmpl w:val="3AEF9440"/>
    <w:lvl w:ilvl="0" w:tentative="0">
      <w:start w:val="2"/>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69C530DB"/>
    <w:multiLevelType w:val="singleLevel"/>
    <w:tmpl w:val="69C530DB"/>
    <w:lvl w:ilvl="0" w:tentative="0">
      <w:start w:val="3"/>
      <w:numFmt w:val="decimal"/>
      <w:lvlText w:val="%1."/>
      <w:lvlJc w:val="left"/>
      <w:pPr>
        <w:tabs>
          <w:tab w:val="left" w:pos="312"/>
        </w:tabs>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9A76B5"/>
    <w:rsid w:val="32F855B5"/>
    <w:rsid w:val="3504692A"/>
    <w:rsid w:val="439677B8"/>
    <w:rsid w:val="5AD738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locked/>
    <w:uiPriority w:val="0"/>
    <w:rPr>
      <w:b/>
      <w:bCs/>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李俐</cp:lastModifiedBy>
  <cp:lastPrinted>2019-04-18T08:15:00Z</cp:lastPrinted>
  <dcterms:modified xsi:type="dcterms:W3CDTF">2021-06-08T10:27:49Z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2516C2A5E5814C19B3301E6988362307</vt:lpwstr>
  </property>
</Properties>
</file>