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893"/>
        <w:gridCol w:w="1145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4"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893" w:type="dxa"/>
            <w:vMerge w:val="restart"/>
            <w:vAlign w:val="center"/>
          </w:tcPr>
          <w:p>
            <w:pPr>
              <w:spacing w:line="360" w:lineRule="auto"/>
              <w:jc w:val="left"/>
              <w:rPr>
                <w:rFonts w:ascii="楷体" w:hAnsi="楷体" w:eastAsia="楷体"/>
                <w:sz w:val="24"/>
                <w:szCs w:val="24"/>
              </w:rPr>
            </w:pPr>
            <w:r>
              <w:rPr>
                <w:rFonts w:hint="eastAsia" w:ascii="楷体" w:hAnsi="楷体" w:eastAsia="楷体"/>
                <w:sz w:val="24"/>
                <w:szCs w:val="24"/>
              </w:rPr>
              <w:t>涉及条款</w:t>
            </w:r>
          </w:p>
        </w:tc>
        <w:tc>
          <w:tcPr>
            <w:tcW w:w="11454" w:type="dxa"/>
            <w:vAlign w:val="center"/>
          </w:tcPr>
          <w:p>
            <w:pPr>
              <w:spacing w:line="360" w:lineRule="auto"/>
              <w:rPr>
                <w:rFonts w:hint="default" w:ascii="楷体" w:hAnsi="楷体" w:eastAsia="楷体"/>
                <w:color w:val="000000" w:themeColor="text1"/>
                <w:sz w:val="21"/>
                <w:szCs w:val="21"/>
                <w:lang w:val="en-US" w:eastAsia="zh-CN"/>
              </w:rPr>
            </w:pPr>
            <w:r>
              <w:rPr>
                <w:rFonts w:hint="eastAsia" w:ascii="楷体" w:hAnsi="楷体" w:eastAsia="楷体"/>
                <w:color w:val="000000" w:themeColor="text1"/>
                <w:sz w:val="21"/>
                <w:szCs w:val="21"/>
              </w:rPr>
              <w:t xml:space="preserve">受审核部门：管理层  </w:t>
            </w:r>
            <w:r>
              <w:rPr>
                <w:rFonts w:hint="eastAsia" w:ascii="楷体" w:hAnsi="楷体" w:eastAsia="楷体"/>
                <w:color w:val="000000" w:themeColor="text1"/>
                <w:sz w:val="21"/>
                <w:szCs w:val="21"/>
                <w:lang w:val="en-US" w:eastAsia="zh-CN"/>
              </w:rPr>
              <w:t xml:space="preserve">  </w:t>
            </w:r>
            <w:r>
              <w:rPr>
                <w:rFonts w:hint="eastAsia" w:ascii="楷体" w:hAnsi="楷体" w:eastAsia="楷体"/>
                <w:color w:val="000000" w:themeColor="text1"/>
                <w:sz w:val="21"/>
                <w:szCs w:val="21"/>
              </w:rPr>
              <w:t>总经理：窦印良，</w:t>
            </w:r>
            <w:r>
              <w:rPr>
                <w:rFonts w:hint="eastAsia" w:ascii="楷体" w:hAnsi="楷体" w:eastAsia="楷体"/>
                <w:color w:val="000000" w:themeColor="text1"/>
                <w:sz w:val="21"/>
                <w:szCs w:val="21"/>
                <w:lang w:val="en-US" w:eastAsia="zh-CN"/>
              </w:rPr>
              <w:t xml:space="preserve">     </w:t>
            </w:r>
            <w:r>
              <w:rPr>
                <w:rFonts w:hint="eastAsia" w:ascii="楷体" w:hAnsi="楷体" w:eastAsia="楷体"/>
                <w:color w:val="000000" w:themeColor="text1"/>
                <w:sz w:val="21"/>
                <w:szCs w:val="21"/>
              </w:rPr>
              <w:t>管理者代表：张柏林</w:t>
            </w:r>
            <w:r>
              <w:rPr>
                <w:rFonts w:hint="eastAsia" w:ascii="楷体" w:hAnsi="楷体" w:eastAsia="楷体"/>
                <w:color w:val="000000" w:themeColor="text1"/>
                <w:sz w:val="21"/>
                <w:szCs w:val="21"/>
                <w:lang w:val="en-US" w:eastAsia="zh-CN"/>
              </w:rPr>
              <w:t xml:space="preserve">     </w:t>
            </w:r>
            <w:r>
              <w:rPr>
                <w:rFonts w:hint="eastAsia" w:ascii="楷体" w:hAnsi="楷体" w:eastAsia="楷体"/>
                <w:color w:val="000000" w:themeColor="text1"/>
                <w:sz w:val="21"/>
                <w:szCs w:val="21"/>
              </w:rPr>
              <w:t>陪同人员：</w:t>
            </w:r>
            <w:r>
              <w:rPr>
                <w:rFonts w:hint="eastAsia" w:ascii="楷体" w:hAnsi="楷体" w:eastAsia="楷体"/>
                <w:color w:val="000000" w:themeColor="text1"/>
                <w:sz w:val="21"/>
                <w:szCs w:val="21"/>
                <w:lang w:val="en-US" w:eastAsia="zh-CN"/>
              </w:rPr>
              <w:t>龚丽萍</w:t>
            </w:r>
          </w:p>
        </w:tc>
        <w:tc>
          <w:tcPr>
            <w:tcW w:w="708"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54" w:type="dxa"/>
            <w:vMerge w:val="continue"/>
            <w:vAlign w:val="center"/>
          </w:tcPr>
          <w:p>
            <w:pPr>
              <w:spacing w:line="360" w:lineRule="auto"/>
              <w:rPr>
                <w:rFonts w:ascii="楷体" w:hAnsi="楷体" w:eastAsia="楷体"/>
                <w:sz w:val="24"/>
                <w:szCs w:val="24"/>
              </w:rPr>
            </w:pPr>
          </w:p>
        </w:tc>
        <w:tc>
          <w:tcPr>
            <w:tcW w:w="893" w:type="dxa"/>
            <w:vMerge w:val="continue"/>
            <w:vAlign w:val="center"/>
          </w:tcPr>
          <w:p>
            <w:pPr>
              <w:spacing w:line="360" w:lineRule="auto"/>
              <w:rPr>
                <w:rFonts w:ascii="楷体" w:hAnsi="楷体" w:eastAsia="楷体"/>
                <w:sz w:val="24"/>
                <w:szCs w:val="24"/>
              </w:rPr>
            </w:pPr>
          </w:p>
        </w:tc>
        <w:tc>
          <w:tcPr>
            <w:tcW w:w="11454" w:type="dxa"/>
            <w:vAlign w:val="center"/>
          </w:tcPr>
          <w:p>
            <w:pPr>
              <w:spacing w:before="120" w:line="360" w:lineRule="auto"/>
              <w:rPr>
                <w:rFonts w:hint="default" w:ascii="楷体" w:hAnsi="楷体" w:eastAsia="楷体"/>
                <w:color w:val="000000" w:themeColor="text1"/>
                <w:sz w:val="21"/>
                <w:szCs w:val="21"/>
                <w:lang w:val="en-US" w:eastAsia="zh-CN"/>
              </w:rPr>
            </w:pPr>
            <w:r>
              <w:rPr>
                <w:rFonts w:hint="eastAsia" w:ascii="楷体" w:hAnsi="楷体" w:eastAsia="楷体"/>
                <w:color w:val="000000" w:themeColor="text1"/>
                <w:sz w:val="21"/>
                <w:szCs w:val="21"/>
              </w:rPr>
              <w:t>审核员：</w:t>
            </w:r>
            <w:r>
              <w:rPr>
                <w:rFonts w:hint="eastAsia" w:ascii="楷体" w:hAnsi="楷体" w:eastAsia="楷体"/>
                <w:color w:val="000000" w:themeColor="text1"/>
                <w:sz w:val="21"/>
                <w:szCs w:val="21"/>
                <w:lang w:val="en-US" w:eastAsia="zh-CN"/>
              </w:rPr>
              <w:t>李俐</w:t>
            </w:r>
            <w:bookmarkStart w:id="0" w:name="_GoBack"/>
            <w:bookmarkEnd w:id="0"/>
            <w:r>
              <w:rPr>
                <w:rFonts w:hint="eastAsia" w:ascii="楷体" w:hAnsi="楷体" w:eastAsia="楷体"/>
                <w:color w:val="000000" w:themeColor="text1"/>
                <w:sz w:val="21"/>
                <w:szCs w:val="21"/>
                <w:lang w:val="en-US" w:eastAsia="zh-CN"/>
              </w:rPr>
              <w:t xml:space="preserve">     </w:t>
            </w:r>
            <w:r>
              <w:rPr>
                <w:rFonts w:ascii="楷体" w:hAnsi="楷体" w:eastAsia="楷体"/>
                <w:color w:val="000000" w:themeColor="text1"/>
                <w:sz w:val="21"/>
                <w:szCs w:val="21"/>
              </w:rPr>
              <w:t xml:space="preserve">    </w:t>
            </w:r>
            <w:r>
              <w:rPr>
                <w:rFonts w:hint="eastAsia" w:ascii="楷体" w:hAnsi="楷体" w:eastAsia="楷体"/>
                <w:color w:val="000000" w:themeColor="text1"/>
                <w:sz w:val="21"/>
                <w:szCs w:val="21"/>
              </w:rPr>
              <w:t>审核时间：</w:t>
            </w:r>
            <w:r>
              <w:rPr>
                <w:rFonts w:hint="eastAsia" w:ascii="楷体" w:hAnsi="楷体" w:eastAsia="楷体"/>
                <w:color w:val="000000" w:themeColor="text1"/>
                <w:sz w:val="21"/>
                <w:szCs w:val="21"/>
                <w:lang w:val="en-US" w:eastAsia="zh-CN"/>
              </w:rPr>
              <w:t>2021.6.5</w:t>
            </w:r>
          </w:p>
        </w:tc>
        <w:tc>
          <w:tcPr>
            <w:tcW w:w="708"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4" w:type="dxa"/>
            <w:vMerge w:val="continue"/>
            <w:vAlign w:val="center"/>
          </w:tcPr>
          <w:p>
            <w:pPr>
              <w:spacing w:line="360" w:lineRule="auto"/>
              <w:rPr>
                <w:rFonts w:ascii="楷体" w:hAnsi="楷体" w:eastAsia="楷体"/>
                <w:sz w:val="24"/>
                <w:szCs w:val="24"/>
              </w:rPr>
            </w:pPr>
          </w:p>
        </w:tc>
        <w:tc>
          <w:tcPr>
            <w:tcW w:w="893" w:type="dxa"/>
            <w:vMerge w:val="continue"/>
            <w:vAlign w:val="center"/>
          </w:tcPr>
          <w:p>
            <w:pPr>
              <w:spacing w:line="360" w:lineRule="auto"/>
              <w:rPr>
                <w:rFonts w:ascii="楷体" w:hAnsi="楷体" w:eastAsia="楷体"/>
                <w:sz w:val="24"/>
                <w:szCs w:val="24"/>
              </w:rPr>
            </w:pPr>
          </w:p>
        </w:tc>
        <w:tc>
          <w:tcPr>
            <w:tcW w:w="11454" w:type="dxa"/>
            <w:vAlign w:val="center"/>
          </w:tcPr>
          <w:p>
            <w:pPr>
              <w:spacing w:line="360" w:lineRule="auto"/>
              <w:rPr>
                <w:rFonts w:hint="eastAsia" w:ascii="楷体" w:hAnsi="楷体" w:eastAsia="楷体" w:cs="Arial"/>
                <w:color w:val="000000" w:themeColor="text1"/>
                <w:spacing w:val="-6"/>
                <w:sz w:val="21"/>
                <w:szCs w:val="21"/>
              </w:rPr>
            </w:pPr>
            <w:r>
              <w:rPr>
                <w:rFonts w:hint="eastAsia" w:ascii="楷体" w:hAnsi="楷体" w:eastAsia="楷体"/>
                <w:color w:val="000000" w:themeColor="text1"/>
                <w:sz w:val="21"/>
                <w:szCs w:val="21"/>
              </w:rPr>
              <w:t>审核条款：</w:t>
            </w:r>
            <w:r>
              <w:rPr>
                <w:rFonts w:ascii="楷体" w:hAnsi="楷体" w:eastAsia="楷体" w:cs="Arial"/>
                <w:color w:val="000000" w:themeColor="text1"/>
                <w:spacing w:val="-6"/>
                <w:sz w:val="21"/>
                <w:szCs w:val="21"/>
              </w:rPr>
              <w:t>QE</w:t>
            </w:r>
            <w:r>
              <w:rPr>
                <w:rFonts w:hint="eastAsia" w:ascii="楷体" w:hAnsi="楷体" w:eastAsia="楷体" w:cs="Arial"/>
                <w:color w:val="000000" w:themeColor="text1"/>
                <w:spacing w:val="-6"/>
                <w:sz w:val="21"/>
                <w:szCs w:val="21"/>
                <w:lang w:val="en-US" w:eastAsia="zh-CN"/>
              </w:rPr>
              <w:t>S</w:t>
            </w:r>
            <w:r>
              <w:rPr>
                <w:rFonts w:ascii="楷体" w:hAnsi="楷体" w:eastAsia="楷体" w:cs="Arial"/>
                <w:color w:val="000000" w:themeColor="text1"/>
                <w:spacing w:val="-6"/>
                <w:sz w:val="21"/>
                <w:szCs w:val="21"/>
              </w:rPr>
              <w:t>:4.1</w:t>
            </w:r>
            <w:r>
              <w:rPr>
                <w:rFonts w:hint="eastAsia" w:ascii="楷体" w:hAnsi="楷体" w:eastAsia="楷体" w:cs="Arial"/>
                <w:color w:val="000000" w:themeColor="text1"/>
                <w:spacing w:val="-6"/>
                <w:sz w:val="21"/>
                <w:szCs w:val="21"/>
              </w:rPr>
              <w:t>理解组织及其环境、</w:t>
            </w:r>
            <w:r>
              <w:rPr>
                <w:rFonts w:ascii="楷体" w:hAnsi="楷体" w:eastAsia="楷体" w:cs="Arial"/>
                <w:color w:val="000000" w:themeColor="text1"/>
                <w:spacing w:val="-6"/>
                <w:sz w:val="21"/>
                <w:szCs w:val="21"/>
              </w:rPr>
              <w:t>4.2</w:t>
            </w:r>
            <w:r>
              <w:rPr>
                <w:rFonts w:hint="eastAsia" w:ascii="楷体" w:hAnsi="楷体" w:eastAsia="楷体" w:cs="Arial"/>
                <w:color w:val="000000" w:themeColor="text1"/>
                <w:spacing w:val="-6"/>
                <w:sz w:val="21"/>
                <w:szCs w:val="21"/>
              </w:rPr>
              <w:t>理解相关方的需求和期望、</w:t>
            </w:r>
            <w:r>
              <w:rPr>
                <w:rFonts w:ascii="楷体" w:hAnsi="楷体" w:eastAsia="楷体" w:cs="Arial"/>
                <w:color w:val="000000" w:themeColor="text1"/>
                <w:spacing w:val="-6"/>
                <w:sz w:val="21"/>
                <w:szCs w:val="21"/>
              </w:rPr>
              <w:t xml:space="preserve">4.3 </w:t>
            </w:r>
            <w:r>
              <w:rPr>
                <w:rFonts w:hint="eastAsia" w:ascii="楷体" w:hAnsi="楷体" w:eastAsia="楷体" w:cs="Arial"/>
                <w:color w:val="000000" w:themeColor="text1"/>
                <w:spacing w:val="-6"/>
                <w:sz w:val="21"/>
                <w:szCs w:val="21"/>
              </w:rPr>
              <w:t>确定管理体系的范围、</w:t>
            </w:r>
            <w:r>
              <w:rPr>
                <w:rFonts w:ascii="楷体" w:hAnsi="楷体" w:eastAsia="楷体" w:cs="Arial"/>
                <w:color w:val="000000" w:themeColor="text1"/>
                <w:spacing w:val="-6"/>
                <w:sz w:val="21"/>
                <w:szCs w:val="21"/>
              </w:rPr>
              <w:t>4.4</w:t>
            </w:r>
            <w:r>
              <w:rPr>
                <w:rFonts w:hint="eastAsia" w:ascii="楷体" w:hAnsi="楷体" w:eastAsia="楷体" w:cs="Arial"/>
                <w:color w:val="000000" w:themeColor="text1"/>
                <w:spacing w:val="-6"/>
                <w:sz w:val="21"/>
                <w:szCs w:val="21"/>
              </w:rPr>
              <w:t>质量</w:t>
            </w:r>
            <w:r>
              <w:rPr>
                <w:rFonts w:ascii="楷体" w:hAnsi="楷体" w:eastAsia="楷体" w:cs="Arial"/>
                <w:color w:val="000000" w:themeColor="text1"/>
                <w:spacing w:val="-6"/>
                <w:sz w:val="21"/>
                <w:szCs w:val="21"/>
              </w:rPr>
              <w:t>/</w:t>
            </w:r>
            <w:r>
              <w:rPr>
                <w:rFonts w:hint="eastAsia" w:ascii="楷体" w:hAnsi="楷体" w:eastAsia="楷体" w:cs="Arial"/>
                <w:color w:val="000000" w:themeColor="text1"/>
                <w:spacing w:val="-6"/>
                <w:sz w:val="21"/>
                <w:szCs w:val="21"/>
              </w:rPr>
              <w:t>环境</w:t>
            </w:r>
            <w:r>
              <w:rPr>
                <w:rFonts w:ascii="楷体" w:hAnsi="楷体" w:eastAsia="楷体" w:cs="Arial"/>
                <w:color w:val="000000" w:themeColor="text1"/>
                <w:spacing w:val="-6"/>
                <w:sz w:val="21"/>
                <w:szCs w:val="21"/>
              </w:rPr>
              <w:t>/</w:t>
            </w:r>
            <w:r>
              <w:rPr>
                <w:rFonts w:hint="eastAsia" w:ascii="楷体" w:hAnsi="楷体" w:eastAsia="楷体" w:cs="Arial"/>
                <w:color w:val="000000" w:themeColor="text1"/>
                <w:sz w:val="21"/>
                <w:szCs w:val="21"/>
              </w:rPr>
              <w:t>职业健康</w:t>
            </w:r>
            <w:r>
              <w:rPr>
                <w:rFonts w:hint="eastAsia" w:ascii="楷体" w:hAnsi="楷体" w:eastAsia="楷体" w:cs="Arial"/>
                <w:color w:val="000000" w:themeColor="text1"/>
                <w:spacing w:val="-6"/>
                <w:sz w:val="21"/>
                <w:szCs w:val="21"/>
              </w:rPr>
              <w:t>安全管理体系及其过程、</w:t>
            </w:r>
            <w:r>
              <w:rPr>
                <w:rFonts w:ascii="楷体" w:hAnsi="楷体" w:eastAsia="楷体" w:cs="Arial"/>
                <w:color w:val="000000" w:themeColor="text1"/>
                <w:spacing w:val="-6"/>
                <w:sz w:val="21"/>
                <w:szCs w:val="21"/>
              </w:rPr>
              <w:t>5.1</w:t>
            </w:r>
            <w:r>
              <w:rPr>
                <w:rFonts w:hint="eastAsia" w:ascii="楷体" w:hAnsi="楷体" w:eastAsia="楷体" w:cs="Arial"/>
                <w:color w:val="000000" w:themeColor="text1"/>
                <w:spacing w:val="-6"/>
                <w:sz w:val="21"/>
                <w:szCs w:val="21"/>
              </w:rPr>
              <w:t>领导作用和承诺、</w:t>
            </w:r>
            <w:r>
              <w:rPr>
                <w:rFonts w:ascii="楷体" w:hAnsi="楷体" w:eastAsia="楷体" w:cs="Arial"/>
                <w:color w:val="000000" w:themeColor="text1"/>
                <w:spacing w:val="-6"/>
                <w:sz w:val="21"/>
                <w:szCs w:val="21"/>
              </w:rPr>
              <w:t>5.2</w:t>
            </w:r>
            <w:r>
              <w:rPr>
                <w:rFonts w:hint="eastAsia" w:ascii="楷体" w:hAnsi="楷体" w:eastAsia="楷体" w:cs="Arial"/>
                <w:color w:val="000000" w:themeColor="text1"/>
                <w:spacing w:val="-6"/>
                <w:sz w:val="21"/>
                <w:szCs w:val="21"/>
              </w:rPr>
              <w:t>质量</w:t>
            </w:r>
            <w:r>
              <w:rPr>
                <w:rFonts w:ascii="楷体" w:hAnsi="楷体" w:eastAsia="楷体" w:cs="Arial"/>
                <w:color w:val="000000" w:themeColor="text1"/>
                <w:spacing w:val="-6"/>
                <w:sz w:val="21"/>
                <w:szCs w:val="21"/>
              </w:rPr>
              <w:t>/</w:t>
            </w:r>
            <w:r>
              <w:rPr>
                <w:rFonts w:hint="eastAsia" w:ascii="楷体" w:hAnsi="楷体" w:eastAsia="楷体" w:cs="Arial"/>
                <w:color w:val="000000" w:themeColor="text1"/>
                <w:spacing w:val="-6"/>
                <w:sz w:val="21"/>
                <w:szCs w:val="21"/>
              </w:rPr>
              <w:t>环境</w:t>
            </w:r>
            <w:r>
              <w:rPr>
                <w:rFonts w:ascii="楷体" w:hAnsi="楷体" w:eastAsia="楷体" w:cs="Arial"/>
                <w:color w:val="000000" w:themeColor="text1"/>
                <w:spacing w:val="-6"/>
                <w:sz w:val="21"/>
                <w:szCs w:val="21"/>
              </w:rPr>
              <w:t>/</w:t>
            </w:r>
            <w:r>
              <w:rPr>
                <w:rFonts w:hint="eastAsia" w:ascii="楷体" w:hAnsi="楷体" w:eastAsia="楷体" w:cs="Arial"/>
                <w:color w:val="000000" w:themeColor="text1"/>
                <w:sz w:val="21"/>
                <w:szCs w:val="21"/>
              </w:rPr>
              <w:t>职业健康</w:t>
            </w:r>
            <w:r>
              <w:rPr>
                <w:rFonts w:hint="eastAsia" w:ascii="楷体" w:hAnsi="楷体" w:eastAsia="楷体" w:cs="Arial"/>
                <w:color w:val="000000" w:themeColor="text1"/>
                <w:spacing w:val="-6"/>
                <w:sz w:val="21"/>
                <w:szCs w:val="21"/>
              </w:rPr>
              <w:t>安全方针、</w:t>
            </w:r>
            <w:r>
              <w:rPr>
                <w:rFonts w:ascii="楷体" w:hAnsi="楷体" w:eastAsia="楷体" w:cs="Arial"/>
                <w:color w:val="000000" w:themeColor="text1"/>
                <w:spacing w:val="-6"/>
                <w:sz w:val="21"/>
                <w:szCs w:val="21"/>
              </w:rPr>
              <w:t>5.3</w:t>
            </w:r>
            <w:r>
              <w:rPr>
                <w:rFonts w:hint="eastAsia" w:ascii="楷体" w:hAnsi="楷体" w:eastAsia="楷体" w:cs="Arial"/>
                <w:color w:val="000000" w:themeColor="text1"/>
                <w:spacing w:val="-6"/>
                <w:sz w:val="21"/>
                <w:szCs w:val="21"/>
              </w:rPr>
              <w:t>组织的岗位、职责和权限、</w:t>
            </w:r>
            <w:r>
              <w:rPr>
                <w:rFonts w:hint="eastAsia" w:ascii="楷体" w:hAnsi="楷体" w:eastAsia="楷体" w:cs="Arial"/>
                <w:color w:val="000000" w:themeColor="text1"/>
                <w:spacing w:val="-6"/>
                <w:sz w:val="21"/>
                <w:szCs w:val="21"/>
                <w:lang w:val="en-US" w:eastAsia="zh-CN"/>
              </w:rPr>
              <w:t>S:</w:t>
            </w:r>
            <w:r>
              <w:rPr>
                <w:rFonts w:ascii="楷体" w:hAnsi="楷体" w:eastAsia="楷体" w:cs="Arial"/>
                <w:color w:val="000000" w:themeColor="text1"/>
                <w:spacing w:val="-6"/>
                <w:sz w:val="21"/>
                <w:szCs w:val="21"/>
              </w:rPr>
              <w:t>5.4</w:t>
            </w:r>
            <w:r>
              <w:rPr>
                <w:rFonts w:hint="eastAsia" w:ascii="楷体" w:hAnsi="楷体" w:eastAsia="楷体" w:cs="Arial"/>
                <w:color w:val="000000" w:themeColor="text1"/>
                <w:spacing w:val="-6"/>
                <w:sz w:val="21"/>
                <w:szCs w:val="21"/>
              </w:rPr>
              <w:t>协商与参与、</w:t>
            </w:r>
            <w:r>
              <w:rPr>
                <w:rFonts w:ascii="楷体" w:hAnsi="楷体" w:eastAsia="楷体" w:cs="Arial"/>
                <w:color w:val="000000" w:themeColor="text1"/>
                <w:spacing w:val="-6"/>
                <w:sz w:val="21"/>
                <w:szCs w:val="21"/>
              </w:rPr>
              <w:t>6.1</w:t>
            </w:r>
            <w:r>
              <w:rPr>
                <w:rFonts w:hint="eastAsia" w:ascii="楷体" w:hAnsi="楷体" w:eastAsia="楷体" w:cs="Arial"/>
                <w:color w:val="000000" w:themeColor="text1"/>
                <w:spacing w:val="-6"/>
                <w:sz w:val="21"/>
                <w:szCs w:val="21"/>
              </w:rPr>
              <w:t>应对风险和机遇的措施、</w:t>
            </w:r>
            <w:r>
              <w:rPr>
                <w:rFonts w:ascii="楷体" w:hAnsi="楷体" w:eastAsia="楷体" w:cs="Arial"/>
                <w:color w:val="000000" w:themeColor="text1"/>
                <w:spacing w:val="-6"/>
                <w:sz w:val="21"/>
                <w:szCs w:val="21"/>
              </w:rPr>
              <w:t>6.2</w:t>
            </w:r>
            <w:r>
              <w:rPr>
                <w:rFonts w:hint="eastAsia" w:ascii="楷体" w:hAnsi="楷体" w:eastAsia="楷体" w:cs="Arial"/>
                <w:color w:val="000000" w:themeColor="text1"/>
                <w:spacing w:val="-6"/>
                <w:sz w:val="21"/>
                <w:szCs w:val="21"/>
              </w:rPr>
              <w:t>质量</w:t>
            </w:r>
            <w:r>
              <w:rPr>
                <w:rFonts w:ascii="楷体" w:hAnsi="楷体" w:eastAsia="楷体" w:cs="Arial"/>
                <w:color w:val="000000" w:themeColor="text1"/>
                <w:spacing w:val="-6"/>
                <w:sz w:val="21"/>
                <w:szCs w:val="21"/>
              </w:rPr>
              <w:t>/</w:t>
            </w:r>
            <w:r>
              <w:rPr>
                <w:rFonts w:hint="eastAsia" w:ascii="楷体" w:hAnsi="楷体" w:eastAsia="楷体" w:cs="Arial"/>
                <w:color w:val="000000" w:themeColor="text1"/>
                <w:spacing w:val="-6"/>
                <w:sz w:val="21"/>
                <w:szCs w:val="21"/>
              </w:rPr>
              <w:t>环境</w:t>
            </w:r>
            <w:r>
              <w:rPr>
                <w:rFonts w:ascii="楷体" w:hAnsi="楷体" w:eastAsia="楷体" w:cs="Arial"/>
                <w:color w:val="000000" w:themeColor="text1"/>
                <w:spacing w:val="-6"/>
                <w:sz w:val="21"/>
                <w:szCs w:val="21"/>
              </w:rPr>
              <w:t>/</w:t>
            </w:r>
            <w:r>
              <w:rPr>
                <w:rFonts w:hint="eastAsia" w:ascii="楷体" w:hAnsi="楷体" w:eastAsia="楷体" w:cs="Arial"/>
                <w:color w:val="000000" w:themeColor="text1"/>
                <w:sz w:val="21"/>
                <w:szCs w:val="21"/>
              </w:rPr>
              <w:t>职业健康</w:t>
            </w:r>
            <w:r>
              <w:rPr>
                <w:rFonts w:hint="eastAsia" w:ascii="楷体" w:hAnsi="楷体" w:eastAsia="楷体" w:cs="Arial"/>
                <w:color w:val="000000" w:themeColor="text1"/>
                <w:spacing w:val="-6"/>
                <w:sz w:val="21"/>
                <w:szCs w:val="21"/>
              </w:rPr>
              <w:t>安全目标及其实现的策划、</w:t>
            </w:r>
            <w:r>
              <w:rPr>
                <w:rFonts w:ascii="楷体" w:hAnsi="楷体" w:eastAsia="楷体" w:cs="Arial"/>
                <w:color w:val="000000" w:themeColor="text1"/>
                <w:spacing w:val="-6"/>
                <w:sz w:val="21"/>
                <w:szCs w:val="21"/>
              </w:rPr>
              <w:t>Q6.3</w:t>
            </w:r>
            <w:r>
              <w:rPr>
                <w:rFonts w:hint="eastAsia" w:ascii="楷体" w:hAnsi="楷体" w:eastAsia="楷体" w:cs="Arial"/>
                <w:color w:val="000000" w:themeColor="text1"/>
                <w:spacing w:val="-6"/>
                <w:sz w:val="21"/>
                <w:szCs w:val="21"/>
              </w:rPr>
              <w:t>变更的策划、</w:t>
            </w:r>
            <w:r>
              <w:rPr>
                <w:rFonts w:ascii="楷体" w:hAnsi="楷体" w:eastAsia="楷体" w:cs="Arial"/>
                <w:color w:val="000000" w:themeColor="text1"/>
                <w:spacing w:val="-6"/>
                <w:sz w:val="21"/>
                <w:szCs w:val="21"/>
              </w:rPr>
              <w:t>9.3</w:t>
            </w:r>
            <w:r>
              <w:rPr>
                <w:rFonts w:hint="eastAsia" w:ascii="楷体" w:hAnsi="楷体" w:eastAsia="楷体" w:cs="Arial"/>
                <w:color w:val="000000" w:themeColor="text1"/>
                <w:spacing w:val="-6"/>
                <w:sz w:val="21"/>
                <w:szCs w:val="21"/>
              </w:rPr>
              <w:t>管理评审、</w:t>
            </w:r>
            <w:r>
              <w:rPr>
                <w:rFonts w:ascii="楷体" w:hAnsi="楷体" w:eastAsia="楷体" w:cs="Arial"/>
                <w:color w:val="000000" w:themeColor="text1"/>
                <w:spacing w:val="-6"/>
                <w:sz w:val="21"/>
                <w:szCs w:val="21"/>
              </w:rPr>
              <w:t>10.1</w:t>
            </w:r>
            <w:r>
              <w:rPr>
                <w:rFonts w:hint="eastAsia" w:ascii="楷体" w:hAnsi="楷体" w:eastAsia="楷体" w:cs="Arial"/>
                <w:color w:val="000000" w:themeColor="text1"/>
                <w:spacing w:val="-6"/>
                <w:sz w:val="21"/>
                <w:szCs w:val="21"/>
              </w:rPr>
              <w:t>改进、</w:t>
            </w:r>
            <w:r>
              <w:rPr>
                <w:rFonts w:ascii="楷体" w:hAnsi="楷体" w:eastAsia="楷体" w:cs="Arial"/>
                <w:color w:val="000000" w:themeColor="text1"/>
                <w:spacing w:val="-6"/>
                <w:sz w:val="21"/>
                <w:szCs w:val="21"/>
              </w:rPr>
              <w:t>10.3</w:t>
            </w:r>
            <w:r>
              <w:rPr>
                <w:rFonts w:hint="eastAsia" w:ascii="楷体" w:hAnsi="楷体" w:eastAsia="楷体" w:cs="Arial"/>
                <w:color w:val="000000" w:themeColor="text1"/>
                <w:spacing w:val="-6"/>
                <w:sz w:val="21"/>
                <w:szCs w:val="21"/>
              </w:rPr>
              <w:t>持续改进</w:t>
            </w:r>
            <w:r>
              <w:rPr>
                <w:rFonts w:hint="eastAsia" w:ascii="楷体" w:hAnsi="楷体" w:eastAsia="楷体" w:cs="Arial"/>
                <w:color w:val="000000" w:themeColor="text1"/>
                <w:spacing w:val="-6"/>
                <w:sz w:val="21"/>
                <w:szCs w:val="21"/>
                <w:lang w:eastAsia="zh-CN"/>
              </w:rPr>
              <w:t>；</w:t>
            </w:r>
            <w:r>
              <w:rPr>
                <w:rFonts w:hint="eastAsia" w:ascii="楷体" w:hAnsi="楷体" w:eastAsia="楷体" w:cs="Arial"/>
                <w:color w:val="000000" w:themeColor="text1"/>
                <w:spacing w:val="-6"/>
                <w:sz w:val="21"/>
                <w:szCs w:val="21"/>
                <w:lang w:val="en-US" w:eastAsia="zh-CN"/>
              </w:rPr>
              <w:t>资质变化情况、</w:t>
            </w:r>
            <w:r>
              <w:rPr>
                <w:rFonts w:hint="eastAsia" w:ascii="楷体" w:hAnsi="楷体" w:eastAsia="楷体" w:cs="Arial"/>
                <w:color w:val="000000" w:themeColor="text1"/>
                <w:spacing w:val="-6"/>
                <w:sz w:val="21"/>
                <w:szCs w:val="21"/>
              </w:rPr>
              <w:t>国家</w:t>
            </w:r>
            <w:r>
              <w:rPr>
                <w:rFonts w:ascii="楷体" w:hAnsi="楷体" w:eastAsia="楷体" w:cs="Arial"/>
                <w:color w:val="000000" w:themeColor="text1"/>
                <w:spacing w:val="-6"/>
                <w:sz w:val="21"/>
                <w:szCs w:val="21"/>
              </w:rPr>
              <w:t>/</w:t>
            </w:r>
            <w:r>
              <w:rPr>
                <w:rFonts w:hint="eastAsia" w:ascii="楷体" w:hAnsi="楷体" w:eastAsia="楷体" w:cs="Arial"/>
                <w:color w:val="000000" w:themeColor="text1"/>
                <w:spacing w:val="-6"/>
                <w:sz w:val="21"/>
                <w:szCs w:val="21"/>
              </w:rPr>
              <w:t>地方监督抽查情况；顾客满意、相关方投诉及处理情况；</w:t>
            </w:r>
          </w:p>
        </w:tc>
        <w:tc>
          <w:tcPr>
            <w:tcW w:w="708"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654" w:type="dxa"/>
            <w:vAlign w:val="center"/>
          </w:tcPr>
          <w:p>
            <w:pPr>
              <w:spacing w:line="360" w:lineRule="auto"/>
              <w:jc w:val="left"/>
              <w:rPr>
                <w:rFonts w:hint="eastAsia"/>
              </w:rPr>
            </w:pPr>
            <w:r>
              <w:rPr>
                <w:rFonts w:hint="eastAsia"/>
              </w:rPr>
              <w:t>领导作用和承诺、组织的岗位职责和权限</w:t>
            </w:r>
          </w:p>
          <w:p>
            <w:pPr>
              <w:pStyle w:val="2"/>
              <w:rPr>
                <w:rFonts w:hint="eastAsia"/>
              </w:rPr>
            </w:pPr>
          </w:p>
          <w:p>
            <w:pPr>
              <w:spacing w:line="360" w:lineRule="auto"/>
              <w:jc w:val="left"/>
              <w:rPr>
                <w:rFonts w:hint="eastAsia"/>
                <w:szCs w:val="22"/>
              </w:rPr>
            </w:pPr>
            <w:r>
              <w:rPr>
                <w:rFonts w:hint="eastAsia"/>
                <w:szCs w:val="22"/>
              </w:rPr>
              <w:t>协商与参与、安全事务代表</w:t>
            </w:r>
          </w:p>
          <w:p>
            <w:pPr>
              <w:pStyle w:val="3"/>
              <w:rPr>
                <w:rFonts w:hint="eastAsia" w:asciiTheme="minorEastAsia" w:hAnsiTheme="minorEastAsia" w:eastAsiaTheme="minorEastAsia" w:cstheme="minorEastAsia"/>
                <w:sz w:val="21"/>
                <w:szCs w:val="21"/>
                <w:lang w:val="en-US" w:eastAsia="zh-CN"/>
              </w:rPr>
            </w:pPr>
          </w:p>
        </w:tc>
        <w:tc>
          <w:tcPr>
            <w:tcW w:w="893"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5.1，5.3 </w:t>
            </w:r>
          </w:p>
          <w:p>
            <w:pPr>
              <w:spacing w:line="360" w:lineRule="auto"/>
              <w:jc w:val="left"/>
              <w:rPr>
                <w:rFonts w:hint="eastAsia" w:asciiTheme="minorEastAsia" w:hAnsiTheme="minorEastAsia" w:eastAsiaTheme="minorEastAsia" w:cstheme="minorEastAsia"/>
                <w:sz w:val="21"/>
                <w:szCs w:val="21"/>
              </w:rPr>
            </w:pPr>
          </w:p>
          <w:p>
            <w:pPr>
              <w:spacing w:line="36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5.4</w:t>
            </w:r>
          </w:p>
        </w:tc>
        <w:tc>
          <w:tcPr>
            <w:tcW w:w="11454" w:type="dxa"/>
            <w:vAlign w:val="center"/>
          </w:tcPr>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据管代张柏林介绍，公司管理体系</w:t>
            </w:r>
            <w:r>
              <w:rPr>
                <w:rFonts w:hint="eastAsia" w:asciiTheme="minorEastAsia" w:hAnsiTheme="minorEastAsia" w:eastAsiaTheme="minorEastAsia" w:cstheme="minorEastAsia"/>
                <w:sz w:val="21"/>
                <w:szCs w:val="21"/>
                <w:lang w:val="en-US" w:eastAsia="zh-CN"/>
              </w:rPr>
              <w:t>2019年9月</w:t>
            </w:r>
            <w:r>
              <w:rPr>
                <w:rFonts w:hint="eastAsia" w:asciiTheme="minorEastAsia" w:hAnsiTheme="minorEastAsia" w:eastAsiaTheme="minorEastAsia" w:cstheme="minorEastAsia"/>
                <w:sz w:val="21"/>
                <w:szCs w:val="21"/>
              </w:rPr>
              <w:t>运行</w:t>
            </w:r>
            <w:r>
              <w:rPr>
                <w:rFonts w:hint="eastAsia" w:asciiTheme="minorEastAsia" w:hAnsiTheme="minorEastAsia" w:eastAsiaTheme="minorEastAsia" w:cstheme="minorEastAsia"/>
                <w:sz w:val="21"/>
                <w:szCs w:val="21"/>
                <w:lang w:val="en-US" w:eastAsia="zh-CN"/>
              </w:rPr>
              <w:t>以来</w:t>
            </w:r>
            <w:r>
              <w:rPr>
                <w:rFonts w:hint="eastAsia" w:asciiTheme="minorEastAsia" w:hAnsiTheme="minorEastAsia" w:eastAsiaTheme="minorEastAsia" w:cstheme="minorEastAsia"/>
                <w:sz w:val="21"/>
                <w:szCs w:val="21"/>
              </w:rPr>
              <w:t>。对部门</w:t>
            </w:r>
            <w:r>
              <w:rPr>
                <w:rFonts w:hint="eastAsia" w:asciiTheme="minorEastAsia" w:hAnsiTheme="minorEastAsia" w:eastAsiaTheme="minorEastAsia" w:cstheme="minorEastAsia"/>
                <w:sz w:val="21"/>
                <w:szCs w:val="21"/>
                <w:lang w:val="en-US" w:eastAsia="zh-CN"/>
              </w:rPr>
              <w:t>按其</w:t>
            </w:r>
            <w:r>
              <w:rPr>
                <w:rFonts w:hint="eastAsia" w:asciiTheme="minorEastAsia" w:hAnsiTheme="minorEastAsia" w:eastAsiaTheme="minorEastAsia" w:cstheme="minorEastAsia"/>
                <w:sz w:val="21"/>
                <w:szCs w:val="21"/>
              </w:rPr>
              <w:t>职责</w:t>
            </w:r>
            <w:r>
              <w:rPr>
                <w:rFonts w:hint="eastAsia" w:asciiTheme="minorEastAsia" w:hAnsiTheme="minorEastAsia" w:eastAsiaTheme="minorEastAsia" w:cstheme="minorEastAsia"/>
                <w:sz w:val="21"/>
                <w:szCs w:val="21"/>
                <w:lang w:val="en-US" w:eastAsia="zh-CN"/>
              </w:rPr>
              <w:t>运行正常</w:t>
            </w:r>
            <w:r>
              <w:rPr>
                <w:rFonts w:hint="eastAsia" w:asciiTheme="minorEastAsia" w:hAnsiTheme="minorEastAsia" w:eastAsiaTheme="minorEastAsia" w:cstheme="minorEastAsia"/>
                <w:sz w:val="21"/>
                <w:szCs w:val="21"/>
              </w:rPr>
              <w:t>，设有</w:t>
            </w:r>
            <w:r>
              <w:rPr>
                <w:rFonts w:hint="eastAsia" w:asciiTheme="minorEastAsia" w:hAnsiTheme="minorEastAsia" w:eastAsiaTheme="minorEastAsia" w:cstheme="minorEastAsia"/>
                <w:sz w:val="21"/>
                <w:szCs w:val="21"/>
                <w:lang w:val="en-US" w:eastAsia="zh-CN"/>
              </w:rPr>
              <w:t>综合</w:t>
            </w:r>
            <w:r>
              <w:rPr>
                <w:rFonts w:hint="eastAsia" w:asciiTheme="minorEastAsia" w:hAnsiTheme="minorEastAsia" w:eastAsiaTheme="minorEastAsia" w:cstheme="minorEastAsia"/>
                <w:sz w:val="21"/>
                <w:szCs w:val="21"/>
              </w:rPr>
              <w:t>部、</w:t>
            </w:r>
            <w:r>
              <w:rPr>
                <w:rFonts w:hint="eastAsia" w:asciiTheme="minorEastAsia" w:hAnsiTheme="minorEastAsia" w:eastAsiaTheme="minorEastAsia" w:cstheme="minorEastAsia"/>
                <w:sz w:val="21"/>
                <w:szCs w:val="21"/>
                <w:lang w:val="en-US" w:eastAsia="zh-CN"/>
              </w:rPr>
              <w:t>业务部</w:t>
            </w:r>
            <w:r>
              <w:rPr>
                <w:rFonts w:hint="eastAsia" w:asciiTheme="minorEastAsia" w:hAnsiTheme="minorEastAsia" w:eastAsiaTheme="minorEastAsia" w:cstheme="minorEastAsia"/>
                <w:sz w:val="21"/>
                <w:szCs w:val="21"/>
              </w:rPr>
              <w:t>岗位职责</w:t>
            </w:r>
            <w:r>
              <w:rPr>
                <w:rFonts w:hint="eastAsia" w:asciiTheme="minorEastAsia" w:hAnsiTheme="minorEastAsia" w:eastAsiaTheme="minorEastAsia" w:cstheme="minorEastAsia"/>
                <w:sz w:val="21"/>
                <w:szCs w:val="21"/>
                <w:lang w:val="en-US" w:eastAsia="zh-CN"/>
              </w:rPr>
              <w:t>明确</w:t>
            </w:r>
            <w:r>
              <w:rPr>
                <w:rFonts w:hint="eastAsia" w:asciiTheme="minorEastAsia" w:hAnsiTheme="minorEastAsia" w:eastAsiaTheme="minorEastAsia" w:cstheme="minorEastAsia"/>
                <w:sz w:val="21"/>
                <w:szCs w:val="21"/>
                <w:lang w:eastAsia="zh-CN"/>
              </w:rPr>
              <w:t>。</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由于职业健康安全管理体系标准变化，</w:t>
            </w:r>
            <w:r>
              <w:rPr>
                <w:rFonts w:hint="eastAsia" w:asciiTheme="minorEastAsia" w:hAnsiTheme="minorEastAsia" w:eastAsiaTheme="minorEastAsia" w:cstheme="minorEastAsia"/>
                <w:sz w:val="21"/>
                <w:szCs w:val="21"/>
              </w:rPr>
              <w:t>组织依据GB/T19001-2016/ISO9001:2015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GB/T24001-2016/IS014001:2015、ISO45001:2018标准</w:t>
            </w:r>
            <w:r>
              <w:rPr>
                <w:rFonts w:hint="eastAsia" w:asciiTheme="minorEastAsia" w:hAnsiTheme="minorEastAsia" w:eastAsiaTheme="minorEastAsia" w:cstheme="minorEastAsia"/>
                <w:sz w:val="21"/>
                <w:szCs w:val="21"/>
                <w:lang w:val="en-US" w:eastAsia="zh-CN"/>
              </w:rPr>
              <w:t>的相关内容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对A0版手册进行了修订。</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提供B0版的</w:t>
            </w:r>
            <w:r>
              <w:rPr>
                <w:rFonts w:hint="eastAsia" w:asciiTheme="minorEastAsia" w:hAnsiTheme="minorEastAsia" w:eastAsiaTheme="minorEastAsia" w:cstheme="minorEastAsia"/>
                <w:sz w:val="21"/>
                <w:szCs w:val="21"/>
                <w:lang w:eastAsia="zh-CN"/>
              </w:rPr>
              <w:t>KEJW-2019</w:t>
            </w:r>
            <w:r>
              <w:rPr>
                <w:rFonts w:hint="eastAsia" w:asciiTheme="minorEastAsia" w:hAnsiTheme="minorEastAsia" w:eastAsiaTheme="minorEastAsia" w:cstheme="minorEastAsia"/>
                <w:sz w:val="21"/>
                <w:szCs w:val="21"/>
                <w:lang w:val="en-US" w:eastAsia="zh-CN"/>
              </w:rPr>
              <w:t>《质量、环境、职业健康安全管理手册》由总经理</w:t>
            </w:r>
            <w:r>
              <w:rPr>
                <w:rFonts w:hint="eastAsia" w:asciiTheme="minorEastAsia" w:hAnsiTheme="minorEastAsia" w:eastAsiaTheme="minorEastAsia" w:cstheme="minorEastAsia"/>
                <w:sz w:val="21"/>
                <w:szCs w:val="21"/>
              </w:rPr>
              <w:t>窦印良</w:t>
            </w:r>
            <w:r>
              <w:rPr>
                <w:rFonts w:hint="eastAsia" w:asciiTheme="minorEastAsia" w:hAnsiTheme="minorEastAsia" w:eastAsiaTheme="minorEastAsia" w:cstheme="minorEastAsia"/>
                <w:sz w:val="21"/>
                <w:szCs w:val="21"/>
                <w:lang w:val="en-US" w:eastAsia="zh-CN"/>
              </w:rPr>
              <w:t>签发，</w:t>
            </w: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发布，2019.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实施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任命管代：张柏林；职业健康安全事务代表：</w:t>
            </w:r>
            <w:r>
              <w:rPr>
                <w:rFonts w:hint="eastAsia" w:asciiTheme="minorEastAsia" w:hAnsiTheme="minorEastAsia" w:eastAsiaTheme="minorEastAsia" w:cstheme="minorEastAsia"/>
                <w:sz w:val="21"/>
                <w:szCs w:val="21"/>
                <w:lang w:eastAsia="zh-CN"/>
              </w:rPr>
              <w:t>蔺江山 。</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其职责分别是：</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总经理</w:t>
            </w:r>
            <w:r>
              <w:rPr>
                <w:rFonts w:hint="eastAsia" w:asciiTheme="minorEastAsia" w:hAnsiTheme="minorEastAsia" w:eastAsiaTheme="minorEastAsia" w:cstheme="minorEastAsia"/>
                <w:sz w:val="21"/>
                <w:szCs w:val="21"/>
                <w:lang w:val="en-US" w:eastAsia="zh-CN"/>
              </w:rPr>
              <w:t>：1. 制定本公司的质量方针、质量目标和环境方针、环境目标、指标和管理方案，审定批准《管理手册》；增强员工质量和环境意识，在公司内促进质量方针、质量目标和环境方针、环境目标的实现，并对质量、环境管理运行做整体策划；2.任命管理者代表，决定组织机构设置，对于质量、环境管理体系的有关人员，用文件形式规定其职责和权限以及相关关系；3.对公司的质量、环境管理体系进行整体策划；4.按策划和规定的时间间隔主持管理评审会议，评审质量、环境管理体系，以确保持续的适宜性、充分性、有效性、并对其进行持续的改进；决定改进的措施。5.确定并提供质量、环境管理体系的有效运行所需的资源。</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管理者代表</w:t>
            </w:r>
            <w:r>
              <w:rPr>
                <w:rFonts w:hint="eastAsia" w:asciiTheme="minorEastAsia" w:hAnsiTheme="minorEastAsia" w:eastAsiaTheme="minorEastAsia" w:cstheme="minorEastAsia"/>
                <w:sz w:val="21"/>
                <w:szCs w:val="21"/>
                <w:lang w:val="en-US" w:eastAsia="zh-CN"/>
              </w:rPr>
              <w:t>：1.协助总经理制定并贯彻本公司的质量方针、质量目标和环境方针、环境目标；2.负责质量、环境管理体系的建立、实施和保持，负责制定并审核《管理手册》、负责审核和批准《程序文件》。确保在整个组织内提高满足顾客要求的意识；3.审核环境目标、指标与管理方案，组织重要环境因素评价；4.负责管理评审的组织和策划，准备和提供输入文件；5.负责审批纠正/预防措施，主持内部质量、环境管理体系审核并确定审核组长；6.负责向公司总经理报告质量环境管理体系的业绩和任何改进的需求；7.负责与质量环境管理体系的有关事宜的外部联系；8. 负责法律法规适用性审批。</w:t>
            </w:r>
          </w:p>
          <w:p>
            <w:pPr>
              <w:spacing w:line="360" w:lineRule="auto"/>
              <w:rPr>
                <w:rFonts w:asciiTheme="minorEastAsia" w:hAnsiTheme="minorEastAsia"/>
                <w:lang w:eastAsia="zh-CN"/>
              </w:rPr>
            </w:pPr>
            <w:r>
              <w:rPr>
                <w:rFonts w:hint="eastAsia" w:asciiTheme="minorEastAsia" w:hAnsiTheme="minorEastAsia" w:eastAsiaTheme="minorEastAsia" w:cstheme="minorEastAsia"/>
                <w:b/>
                <w:bCs/>
                <w:sz w:val="21"/>
                <w:szCs w:val="21"/>
              </w:rPr>
              <w:t>职业健康安全事务代表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lang w:eastAsia="zh-CN"/>
              </w:rPr>
              <w:t>应适当参与公司危险源辨识、风险评价和控制措施的确定；</w:t>
            </w:r>
            <w:r>
              <w:rPr>
                <w:rFonts w:hint="eastAsia" w:asciiTheme="minorEastAsia" w:hAnsiTheme="minorEastAsia"/>
                <w:lang w:val="en-US" w:eastAsia="zh-CN"/>
              </w:rPr>
              <w:t>2.</w:t>
            </w:r>
            <w:r>
              <w:rPr>
                <w:rFonts w:hint="eastAsia" w:asciiTheme="minorEastAsia" w:hAnsiTheme="minorEastAsia"/>
                <w:lang w:eastAsia="zh-CN"/>
              </w:rPr>
              <w:t>当公司发生事故事件时，应适当参与事件调查；</w:t>
            </w:r>
            <w:r>
              <w:rPr>
                <w:rFonts w:hint="eastAsia" w:asciiTheme="minorEastAsia" w:hAnsiTheme="minorEastAsia"/>
                <w:lang w:val="en-US" w:eastAsia="zh-CN"/>
              </w:rPr>
              <w:t>3.</w:t>
            </w:r>
            <w:r>
              <w:rPr>
                <w:rFonts w:hint="eastAsia" w:asciiTheme="minorEastAsia" w:hAnsiTheme="minorEastAsia"/>
                <w:lang w:eastAsia="zh-CN"/>
              </w:rPr>
              <w:t>适当参与职业健康安全方针和目标的制定和评审工作；</w:t>
            </w:r>
            <w:r>
              <w:rPr>
                <w:rFonts w:hint="eastAsia" w:asciiTheme="minorEastAsia" w:hAnsiTheme="minorEastAsia"/>
                <w:lang w:val="en-US" w:eastAsia="zh-CN"/>
              </w:rPr>
              <w:t>4.</w:t>
            </w:r>
            <w:r>
              <w:rPr>
                <w:rFonts w:hint="eastAsia" w:asciiTheme="minorEastAsia" w:hAnsiTheme="minorEastAsia"/>
                <w:lang w:eastAsia="zh-CN"/>
              </w:rPr>
              <w:t>对影响工作人员职业健康安全的任何方面的变更进行协商；</w:t>
            </w:r>
            <w:r>
              <w:rPr>
                <w:rFonts w:hint="eastAsia" w:asciiTheme="minorEastAsia" w:hAnsiTheme="minorEastAsia"/>
                <w:lang w:val="en-US" w:eastAsia="zh-CN"/>
              </w:rPr>
              <w:t>5.</w:t>
            </w:r>
            <w:r>
              <w:rPr>
                <w:rFonts w:hint="eastAsia" w:asciiTheme="minorEastAsia" w:hAnsiTheme="minorEastAsia"/>
                <w:lang w:eastAsia="zh-CN"/>
              </w:rPr>
              <w:t>对本公司的职业健康安全方面的事务发表任何意见。</w:t>
            </w:r>
          </w:p>
          <w:p>
            <w:pPr>
              <w:spacing w:line="360" w:lineRule="auto"/>
              <w:ind w:firstLine="630" w:firstLineChars="300"/>
              <w:rPr>
                <w:rFonts w:hint="eastAsia" w:ascii="宋体" w:hAnsi="宋体" w:eastAsia="宋体" w:cs="宋体"/>
                <w:szCs w:val="22"/>
              </w:rPr>
            </w:pPr>
            <w:r>
              <w:rPr>
                <w:rFonts w:hint="eastAsia" w:asciiTheme="minorEastAsia" w:hAnsiTheme="minorEastAsia" w:eastAsiaTheme="minorEastAsia" w:cstheme="minorEastAsia"/>
                <w:sz w:val="21"/>
                <w:szCs w:val="21"/>
                <w:lang w:val="en-US"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w:t>
            </w:r>
            <w:r>
              <w:rPr>
                <w:rFonts w:hint="eastAsia"/>
                <w:szCs w:val="36"/>
              </w:rPr>
              <w:t>岗位工作人员任</w:t>
            </w:r>
            <w:r>
              <w:rPr>
                <w:rFonts w:hint="eastAsia"/>
              </w:rPr>
              <w:t>职要求</w:t>
            </w:r>
            <w:r>
              <w:rPr>
                <w:rFonts w:hint="eastAsia" w:asciiTheme="minorEastAsia" w:hAnsiTheme="minorEastAsia" w:eastAsiaTheme="minorEastAsia" w:cstheme="minorEastAsia"/>
                <w:sz w:val="21"/>
                <w:szCs w:val="21"/>
                <w:lang w:val="en-US" w:eastAsia="zh-CN"/>
              </w:rPr>
              <w:t>》中得到规定。经查问组织内的职责和权限基本得到沟通，通过文件发布、传达、会议、培训等了解有关职责和权限。同总经理交谈，对于自身职责权限比较清楚。</w:t>
            </w:r>
          </w:p>
        </w:tc>
        <w:tc>
          <w:tcPr>
            <w:tcW w:w="708" w:type="dxa"/>
          </w:tcPr>
          <w:p>
            <w:pPr>
              <w:spacing w:line="360" w:lineRule="auto"/>
            </w:pPr>
          </w:p>
          <w:p>
            <w:pPr>
              <w:pStyle w:val="2"/>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ind w:left="0" w:leftChars="0" w:firstLine="0" w:firstLineChars="0"/>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54"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理解组织及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其环境</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总要求</w:t>
            </w:r>
          </w:p>
          <w:p>
            <w:pPr>
              <w:spacing w:line="360" w:lineRule="auto"/>
              <w:rPr>
                <w:rFonts w:hint="eastAsia" w:asciiTheme="minorEastAsia" w:hAnsiTheme="minorEastAsia" w:eastAsiaTheme="minorEastAsia" w:cstheme="minorEastAsia"/>
                <w:sz w:val="21"/>
                <w:szCs w:val="21"/>
                <w:lang w:val="en-US" w:eastAsia="zh-CN"/>
              </w:rPr>
            </w:pPr>
          </w:p>
        </w:tc>
        <w:tc>
          <w:tcPr>
            <w:tcW w:w="893"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QEO：4.1</w:t>
            </w:r>
          </w:p>
        </w:tc>
        <w:tc>
          <w:tcPr>
            <w:tcW w:w="11454"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总经理：窦印良，体系负责人、管理者代表：张柏林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sz w:val="21"/>
                <w:szCs w:val="21"/>
                <w:lang w:val="en-US" w:eastAsia="zh-CN"/>
              </w:rPr>
              <w:t>质量、环境、职业健康安全管理手册</w:t>
            </w:r>
            <w:r>
              <w:rPr>
                <w:rFonts w:hint="eastAsia" w:asciiTheme="minorEastAsia" w:hAnsiTheme="minorEastAsia" w:eastAsiaTheme="minorEastAsia" w:cstheme="minorEastAsia"/>
                <w:sz w:val="21"/>
                <w:szCs w:val="21"/>
              </w:rPr>
              <w:t xml:space="preserve">》，对公司地理位置、国内市场地位、法律法规要求、公司内部文化观价值观、内外部环境变化等均作出描述。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保定康尔健文教设备制造有限公司主要业务为办公家具、体育器材 、健身器材、实验器材、多媒体教学专用设备、塑胶跑道、学生桌椅、儿童娱乐玩具（涉及安全危险的除外）的销售，主要客户群为学校和教育局等；公司采用经理负责制，层层把关，让用户真正放心。</w:t>
            </w:r>
          </w:p>
          <w:p>
            <w:pPr>
              <w:spacing w:line="360" w:lineRule="auto"/>
              <w:ind w:firstLine="420" w:firstLineChars="200"/>
              <w:rPr>
                <w:rFonts w:ascii="楷体" w:hAnsi="楷体" w:eastAsia="楷体"/>
                <w:sz w:val="24"/>
                <w:szCs w:val="24"/>
              </w:rPr>
            </w:pPr>
            <w:r>
              <w:rPr>
                <w:rFonts w:hint="eastAsia" w:asciiTheme="minorEastAsia" w:hAnsiTheme="minorEastAsia" w:eastAsiaTheme="minorEastAsia" w:cstheme="minorEastAsia"/>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708" w:type="dxa"/>
          </w:tcPr>
          <w:p>
            <w:pPr>
              <w:spacing w:line="360" w:lineRule="auto"/>
            </w:pPr>
          </w:p>
          <w:p>
            <w:pPr>
              <w:pStyle w:val="2"/>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ind w:left="0" w:leftChars="0" w:firstLine="0" w:firstLineChars="0"/>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5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理解相关方的需求和期望</w:t>
            </w:r>
          </w:p>
        </w:tc>
        <w:tc>
          <w:tcPr>
            <w:tcW w:w="893"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QEO：4.2</w:t>
            </w:r>
          </w:p>
        </w:tc>
        <w:tc>
          <w:tcPr>
            <w:tcW w:w="11454"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公司运营过程中充分考虑相关方方面的期望或要求，识别的相关方有：顾客、最终用户或受益人、业主，股东、员工等。业务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20" w:firstLineChars="200"/>
              <w:rPr>
                <w:rFonts w:hint="eastAsia" w:ascii="楷体" w:hAnsi="楷体" w:eastAsia="楷体"/>
                <w:color w:val="000000"/>
                <w:sz w:val="24"/>
                <w:szCs w:val="24"/>
              </w:rPr>
            </w:pPr>
            <w:r>
              <w:rPr>
                <w:rFonts w:hint="eastAsia" w:asciiTheme="minorEastAsia" w:hAnsiTheme="minorEastAsia" w:eastAsiaTheme="minorEastAsia" w:cstheme="minorEastAsia"/>
                <w:sz w:val="21"/>
                <w:szCs w:val="21"/>
              </w:rPr>
              <w:t>内外部环境要素识别与评估：在每年的管理评审前，由相关部门负责人进行识别并评估其适宜性。以便于持续满足相关方的需求和期望。</w:t>
            </w:r>
          </w:p>
        </w:tc>
        <w:tc>
          <w:tcPr>
            <w:tcW w:w="708" w:type="dxa"/>
          </w:tcPr>
          <w:p>
            <w:pPr>
              <w:spacing w:line="360" w:lineRule="auto"/>
            </w:pPr>
          </w:p>
          <w:p>
            <w:pPr>
              <w:pStyle w:val="2"/>
            </w:pPr>
          </w:p>
          <w:p>
            <w:pPr>
              <w:pStyle w:val="3"/>
              <w:ind w:left="0" w:leftChars="0" w:firstLine="0" w:firstLineChars="0"/>
              <w:rPr>
                <w:rFonts w:hint="default" w:eastAsia="楷体"/>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质量/环境/职业健康安全/职业健康安全管理体系的范围</w:t>
            </w:r>
          </w:p>
        </w:tc>
        <w:tc>
          <w:tcPr>
            <w:tcW w:w="893"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QEO：4.3 </w:t>
            </w:r>
          </w:p>
        </w:tc>
        <w:tc>
          <w:tcPr>
            <w:tcW w:w="11454"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经确认企业的管理体系范围是：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:保定康尔健文教设备制造有限公司办公家具、体育器材 、健身器材、实验器材、多媒体教学专用设备、塑胶跑道、学生桌椅、儿童娱乐玩具（涉及安全危险的除外）的销售；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根据企业产品和服务的特点，销售模式成熟，8.3为不适用条款，不适用理由合理。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E：办公家具、体育器材 、健身器材、实验器材、多媒体教学专用设备、塑胶跑道、学生桌椅、儿童娱乐玩具（涉及安全危险的除外）的销售所涉及相关场所的环境管理活动</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O：办公家具、体育器材 、健身器材、实验器材、多媒体教学专用设备、塑胶跑道、学生桌椅、儿童娱乐玩具（涉及安全危险的除外）的销售所涉及相关场所的职业健康安全管理活动</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体系自运行以来范围没有变化</w:t>
            </w:r>
          </w:p>
        </w:tc>
        <w:tc>
          <w:tcPr>
            <w:tcW w:w="708" w:type="dxa"/>
          </w:tcPr>
          <w:p>
            <w:pPr>
              <w:spacing w:line="360" w:lineRule="auto"/>
            </w:pPr>
          </w:p>
          <w:p>
            <w:pPr>
              <w:pStyle w:val="2"/>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ind w:left="0" w:leftChars="0" w:firstLine="0" w:firstLineChars="0"/>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4"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管理体系及其过程</w:t>
            </w:r>
          </w:p>
          <w:p>
            <w:pPr>
              <w:spacing w:line="360" w:lineRule="auto"/>
              <w:rPr>
                <w:rFonts w:hint="eastAsia" w:asciiTheme="minorEastAsia" w:hAnsiTheme="minorEastAsia" w:eastAsiaTheme="minorEastAsia" w:cstheme="minorEastAsia"/>
                <w:sz w:val="21"/>
                <w:szCs w:val="21"/>
                <w:lang w:val="en-US" w:eastAsia="zh-CN"/>
              </w:rPr>
            </w:pPr>
          </w:p>
        </w:tc>
        <w:tc>
          <w:tcPr>
            <w:tcW w:w="893"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QEO：4.4 </w:t>
            </w:r>
          </w:p>
        </w:tc>
        <w:tc>
          <w:tcPr>
            <w:tcW w:w="11454" w:type="dxa"/>
            <w:vAlign w:val="center"/>
          </w:tcPr>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无变化。</w:t>
            </w:r>
          </w:p>
        </w:tc>
        <w:tc>
          <w:tcPr>
            <w:tcW w:w="708" w:type="dxa"/>
          </w:tcPr>
          <w:p>
            <w:pPr>
              <w:spacing w:line="360" w:lineRule="auto"/>
            </w:pPr>
          </w:p>
          <w:p>
            <w:pPr>
              <w:pStyle w:val="2"/>
            </w:pPr>
          </w:p>
          <w:p>
            <w:pPr>
              <w:pStyle w:val="3"/>
              <w:ind w:left="0" w:leftChars="0" w:firstLine="0" w:firstLineChars="0"/>
              <w:rPr>
                <w:rFonts w:hint="default" w:eastAsia="楷体"/>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方针</w:t>
            </w:r>
          </w:p>
        </w:tc>
        <w:tc>
          <w:tcPr>
            <w:tcW w:w="893"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QEO：5.2 </w:t>
            </w:r>
          </w:p>
        </w:tc>
        <w:tc>
          <w:tcPr>
            <w:tcW w:w="11454"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企业已经制定质量、环境、安全方针，具体包含在《管理手册》，公司的质量、环境、职业健康安全方针是：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质量方针：恪守合同、科学管理、质量第一、持续改进、顾客满意。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环境方针：强化环境意识，严守环境法规，走可持续发展道路，完善环境行为，严防环境污染</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职业健康安全方针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遵纪守法，强化职业健康安全管理，消除危害隐患；以人为本，保障员工安康，谋求持续发展</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公司通过各种宣传方式，将</w:t>
            </w:r>
            <w:r>
              <w:rPr>
                <w:rFonts w:hint="eastAsia" w:asciiTheme="minorEastAsia" w:hAnsiTheme="minorEastAsia" w:eastAsiaTheme="minorEastAsia" w:cstheme="minorEastAsia"/>
                <w:sz w:val="21"/>
                <w:szCs w:val="21"/>
              </w:rPr>
              <w:t>质量、环境、安全方针</w:t>
            </w:r>
            <w:r>
              <w:rPr>
                <w:rFonts w:hint="eastAsia" w:asciiTheme="minorEastAsia" w:hAnsiTheme="minorEastAsia" w:eastAsiaTheme="minorEastAsia" w:cstheme="minorEastAsia"/>
                <w:sz w:val="21"/>
                <w:szCs w:val="21"/>
                <w:lang w:val="en-US" w:eastAsia="zh-CN"/>
              </w:rPr>
              <w:t>到本公司各层次，确保方针得到正确的理解和实施。</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在每次管理评审会议上，总经理组织对方针的持续适宜性和有效性进行评审，并根据评审结果对其做出必要的调整。当有相关方需要公司提供管理方针时，可通过公司网站进行获取。</w:t>
            </w:r>
          </w:p>
        </w:tc>
        <w:tc>
          <w:tcPr>
            <w:tcW w:w="708" w:type="dxa"/>
          </w:tcPr>
          <w:p>
            <w:pPr>
              <w:spacing w:line="360" w:lineRule="auto"/>
            </w:pPr>
          </w:p>
          <w:p>
            <w:pPr>
              <w:pStyle w:val="2"/>
            </w:pPr>
          </w:p>
          <w:p>
            <w:pPr>
              <w:pStyle w:val="3"/>
              <w:rPr>
                <w:rFonts w:ascii="楷体" w:hAnsi="楷体" w:eastAsia="楷体"/>
                <w:sz w:val="24"/>
                <w:szCs w:val="24"/>
              </w:rPr>
            </w:pPr>
          </w:p>
          <w:p>
            <w:pPr>
              <w:pStyle w:val="3"/>
              <w:ind w:left="0" w:leftChars="0" w:firstLine="0" w:firstLineChars="0"/>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65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应对风险和机会的措施</w:t>
            </w:r>
          </w:p>
        </w:tc>
        <w:tc>
          <w:tcPr>
            <w:tcW w:w="893" w:type="dxa"/>
            <w:vAlign w:val="center"/>
          </w:tcPr>
          <w:p>
            <w:pPr>
              <w:rPr>
                <w:rFonts w:hint="eastAsia" w:ascii="宋体" w:hAnsi="宋体" w:eastAsia="宋体" w:cs="宋体"/>
                <w:szCs w:val="22"/>
                <w:lang w:val="en-US" w:eastAsia="zh-CN"/>
              </w:rPr>
            </w:pPr>
            <w:r>
              <w:rPr>
                <w:rFonts w:hint="eastAsia" w:ascii="宋体" w:hAnsi="宋体" w:eastAsia="宋体" w:cs="宋体"/>
                <w:szCs w:val="22"/>
                <w:lang w:val="en-US" w:eastAsia="zh-CN"/>
              </w:rPr>
              <w:t>Q：6.1</w:t>
            </w:r>
          </w:p>
          <w:p>
            <w:pPr>
              <w:jc w:val="left"/>
              <w:rPr>
                <w:rFonts w:hint="eastAsia" w:asciiTheme="minorEastAsia" w:hAnsiTheme="minorEastAsia" w:eastAsiaTheme="minorEastAsia" w:cstheme="minorEastAsia"/>
                <w:sz w:val="21"/>
                <w:szCs w:val="21"/>
                <w:lang w:val="en-US" w:eastAsia="zh-CN"/>
              </w:rPr>
            </w:pPr>
            <w:r>
              <w:rPr>
                <w:rFonts w:hint="eastAsia" w:ascii="宋体" w:hAnsi="宋体" w:eastAsia="宋体" w:cs="宋体"/>
                <w:szCs w:val="22"/>
                <w:lang w:val="en-US" w:eastAsia="zh-CN"/>
              </w:rPr>
              <w:t>EO： 6.1.1</w:t>
            </w:r>
          </w:p>
        </w:tc>
        <w:tc>
          <w:tcPr>
            <w:tcW w:w="11454"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708" w:type="dxa"/>
          </w:tcPr>
          <w:p>
            <w:pPr>
              <w:spacing w:line="360" w:lineRule="auto"/>
            </w:pPr>
          </w:p>
          <w:p>
            <w:pPr>
              <w:pStyle w:val="2"/>
              <w:rPr>
                <w:rFonts w:hint="default" w:eastAsia="楷体"/>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54" w:type="dxa"/>
            <w:vAlign w:val="center"/>
          </w:tcPr>
          <w:p>
            <w:pPr>
              <w:rPr>
                <w:rFonts w:hint="eastAsia" w:ascii="宋体" w:hAnsi="宋体" w:eastAsia="宋体" w:cs="宋体"/>
                <w:szCs w:val="22"/>
                <w:lang w:val="en-US" w:eastAsia="zh-CN"/>
              </w:rPr>
            </w:pPr>
            <w:r>
              <w:rPr>
                <w:rFonts w:hint="eastAsia" w:ascii="宋体" w:hAnsi="宋体" w:eastAsia="宋体" w:cs="宋体"/>
                <w:szCs w:val="22"/>
              </w:rPr>
              <w:t>质量/环境/职业健康安全目标及其实现的策划</w:t>
            </w:r>
          </w:p>
        </w:tc>
        <w:tc>
          <w:tcPr>
            <w:tcW w:w="893" w:type="dxa"/>
            <w:vAlign w:val="center"/>
          </w:tcPr>
          <w:p>
            <w:pPr>
              <w:rPr>
                <w:rFonts w:hint="eastAsia" w:ascii="宋体" w:hAnsi="宋体" w:eastAsia="宋体" w:cs="宋体"/>
                <w:szCs w:val="22"/>
                <w:lang w:val="en-US" w:eastAsia="zh-CN"/>
              </w:rPr>
            </w:pPr>
            <w:r>
              <w:rPr>
                <w:rFonts w:hint="eastAsia" w:ascii="宋体" w:hAnsi="宋体" w:eastAsia="宋体" w:cs="宋体"/>
                <w:szCs w:val="22"/>
                <w:lang w:val="en-US" w:eastAsia="zh-CN"/>
              </w:rPr>
              <w:t>QEO：6.2</w:t>
            </w:r>
          </w:p>
          <w:p>
            <w:pPr>
              <w:rPr>
                <w:rFonts w:hint="eastAsia" w:ascii="宋体" w:hAnsi="宋体" w:eastAsia="宋体" w:cs="宋体"/>
                <w:szCs w:val="22"/>
                <w:lang w:val="en-US" w:eastAsia="zh-CN"/>
              </w:rPr>
            </w:pPr>
          </w:p>
        </w:tc>
        <w:tc>
          <w:tcPr>
            <w:tcW w:w="11454" w:type="dxa"/>
            <w:vAlign w:val="center"/>
          </w:tcPr>
          <w:p>
            <w:pPr>
              <w:rPr>
                <w:rFonts w:hint="eastAsia" w:ascii="宋体" w:hAnsi="宋体" w:eastAsia="宋体" w:cs="宋体"/>
                <w:szCs w:val="22"/>
              </w:rPr>
            </w:pPr>
            <w:r>
              <w:rPr>
                <w:rFonts w:hint="eastAsia" w:ascii="宋体" w:hAnsi="宋体" w:eastAsia="宋体" w:cs="宋体"/>
                <w:szCs w:val="22"/>
              </w:rPr>
              <w:t>总经理负责组织制定公司的管理目标，并在公司各部门进行分解，制定时考虑了公司的质量过程及其风险和机遇。</w:t>
            </w:r>
          </w:p>
          <w:p>
            <w:pPr>
              <w:rPr>
                <w:rFonts w:hint="eastAsia" w:ascii="宋体" w:hAnsi="宋体" w:eastAsia="宋体" w:cs="宋体"/>
                <w:szCs w:val="22"/>
              </w:rPr>
            </w:pPr>
            <w:r>
              <w:rPr>
                <w:rFonts w:hint="eastAsia" w:ascii="宋体" w:hAnsi="宋体" w:eastAsia="宋体" w:cs="宋体"/>
                <w:szCs w:val="22"/>
              </w:rPr>
              <w:t>组织对公司质量、环境、职业健康安全目标、指标予以分解，并在相关职能层次部门建立分目标，</w:t>
            </w:r>
          </w:p>
          <w:p>
            <w:pPr>
              <w:rPr>
                <w:rFonts w:hint="eastAsia" w:ascii="宋体" w:hAnsi="宋体" w:eastAsia="宋体" w:cs="宋体"/>
                <w:szCs w:val="22"/>
              </w:rPr>
            </w:pPr>
            <w:r>
              <w:rPr>
                <w:rFonts w:hint="eastAsia" w:ascii="宋体" w:hAnsi="宋体" w:eastAsia="宋体" w:cs="宋体"/>
                <w:szCs w:val="22"/>
              </w:rPr>
              <w:t>查见《质量\环境\职业健康安全目标分解考核表》，20</w:t>
            </w:r>
            <w:r>
              <w:rPr>
                <w:rFonts w:hint="eastAsia" w:ascii="宋体" w:hAnsi="宋体" w:eastAsia="宋体" w:cs="宋体"/>
                <w:szCs w:val="22"/>
                <w:lang w:val="en-US" w:eastAsia="zh-CN"/>
              </w:rPr>
              <w:t>20</w:t>
            </w:r>
            <w:r>
              <w:rPr>
                <w:rFonts w:hint="eastAsia" w:ascii="宋体" w:hAnsi="宋体" w:eastAsia="宋体" w:cs="宋体"/>
                <w:szCs w:val="22"/>
              </w:rPr>
              <w:t>-12-26完成情况</w:t>
            </w:r>
            <w:r>
              <w:rPr>
                <w:rFonts w:hint="eastAsia" w:ascii="宋体" w:hAnsi="宋体" w:eastAsia="宋体" w:cs="宋体"/>
                <w:szCs w:val="22"/>
                <w:lang w:val="en-US" w:eastAsia="zh-CN"/>
              </w:rPr>
              <w:t>统计</w:t>
            </w:r>
            <w:r>
              <w:rPr>
                <w:rFonts w:hint="eastAsia" w:ascii="宋体" w:hAnsi="宋体" w:eastAsia="宋体" w:cs="宋体"/>
                <w:szCs w:val="22"/>
              </w:rPr>
              <w:t>：</w:t>
            </w:r>
          </w:p>
          <w:p>
            <w:pPr>
              <w:rPr>
                <w:rFonts w:hint="eastAsia" w:ascii="宋体" w:hAnsi="宋体" w:eastAsia="宋体" w:cs="宋体"/>
                <w:szCs w:val="22"/>
              </w:rPr>
            </w:pPr>
            <w:r>
              <w:rPr>
                <w:rFonts w:hint="eastAsia" w:ascii="宋体" w:hAnsi="宋体" w:eastAsia="宋体" w:cs="宋体"/>
                <w:szCs w:val="22"/>
              </w:rPr>
              <w:t xml:space="preserve">公司质量目标：                 </w:t>
            </w:r>
            <w:r>
              <w:rPr>
                <w:rFonts w:hint="eastAsia" w:ascii="宋体" w:hAnsi="宋体" w:eastAsia="宋体" w:cs="宋体"/>
                <w:szCs w:val="22"/>
                <w:lang w:val="en-US" w:eastAsia="zh-CN"/>
              </w:rPr>
              <w:t xml:space="preserve">    </w:t>
            </w:r>
            <w:r>
              <w:rPr>
                <w:rFonts w:hint="eastAsia" w:ascii="宋体" w:hAnsi="宋体" w:eastAsia="宋体" w:cs="宋体"/>
                <w:szCs w:val="22"/>
              </w:rPr>
              <w:t xml:space="preserve">完成情况 </w:t>
            </w:r>
          </w:p>
          <w:p>
            <w:pPr>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 xml:space="preserve">交付产品合格率达到100%；  </w:t>
            </w:r>
            <w:r>
              <w:rPr>
                <w:rFonts w:hint="eastAsia" w:ascii="宋体" w:hAnsi="宋体" w:eastAsia="宋体" w:cs="宋体"/>
                <w:szCs w:val="22"/>
                <w:lang w:val="en-US" w:eastAsia="zh-CN"/>
              </w:rPr>
              <w:t xml:space="preserve">       </w:t>
            </w:r>
            <w:r>
              <w:rPr>
                <w:rFonts w:hint="eastAsia" w:ascii="宋体" w:hAnsi="宋体" w:eastAsia="宋体" w:cs="宋体"/>
                <w:szCs w:val="22"/>
              </w:rPr>
              <w:t>100%</w:t>
            </w:r>
          </w:p>
          <w:p>
            <w:pPr>
              <w:rPr>
                <w:rFonts w:hint="eastAsia" w:ascii="宋体" w:hAnsi="宋体" w:eastAsia="宋体" w:cs="宋体"/>
                <w:szCs w:val="22"/>
              </w:rPr>
            </w:pPr>
            <w:r>
              <w:rPr>
                <w:rFonts w:hint="eastAsia" w:ascii="宋体" w:hAnsi="宋体" w:eastAsia="宋体" w:cs="宋体"/>
                <w:szCs w:val="22"/>
                <w:lang w:val="en-US" w:eastAsia="zh-CN"/>
              </w:rPr>
              <w:t>2.</w:t>
            </w:r>
            <w:r>
              <w:rPr>
                <w:rFonts w:hint="eastAsia" w:ascii="宋体" w:hAnsi="宋体" w:eastAsia="宋体" w:cs="宋体"/>
                <w:szCs w:val="22"/>
              </w:rPr>
              <w:t xml:space="preserve">顾客满意率95%以上           </w:t>
            </w:r>
            <w:r>
              <w:rPr>
                <w:rFonts w:hint="eastAsia" w:ascii="宋体" w:hAnsi="宋体" w:eastAsia="宋体" w:cs="宋体"/>
                <w:szCs w:val="22"/>
                <w:lang w:val="en-US" w:eastAsia="zh-CN"/>
              </w:rPr>
              <w:t xml:space="preserve">    </w:t>
            </w:r>
            <w:r>
              <w:rPr>
                <w:rFonts w:hint="eastAsia" w:ascii="宋体" w:hAnsi="宋体" w:eastAsia="宋体" w:cs="宋体"/>
                <w:szCs w:val="22"/>
              </w:rPr>
              <w:t xml:space="preserve"> 9</w:t>
            </w:r>
            <w:r>
              <w:rPr>
                <w:rFonts w:hint="eastAsia" w:ascii="宋体" w:hAnsi="宋体" w:eastAsia="宋体" w:cs="宋体"/>
                <w:szCs w:val="22"/>
                <w:lang w:val="en-US" w:eastAsia="zh-CN"/>
              </w:rPr>
              <w:t>8</w:t>
            </w:r>
            <w:r>
              <w:rPr>
                <w:rFonts w:hint="eastAsia" w:ascii="宋体" w:hAnsi="宋体" w:eastAsia="宋体" w:cs="宋体"/>
                <w:szCs w:val="22"/>
              </w:rPr>
              <w:t>%</w:t>
            </w:r>
          </w:p>
          <w:p>
            <w:pPr>
              <w:rPr>
                <w:rFonts w:hint="eastAsia" w:ascii="宋体" w:hAnsi="宋体" w:eastAsia="宋体" w:cs="宋体"/>
                <w:szCs w:val="22"/>
              </w:rPr>
            </w:pPr>
            <w:r>
              <w:rPr>
                <w:rFonts w:hint="eastAsia" w:ascii="宋体" w:hAnsi="宋体" w:eastAsia="宋体" w:cs="宋体"/>
                <w:szCs w:val="22"/>
              </w:rPr>
              <w:t xml:space="preserve">环境目标：                        </w:t>
            </w:r>
          </w:p>
          <w:p>
            <w:pPr>
              <w:rPr>
                <w:rFonts w:hint="eastAsia" w:ascii="宋体" w:hAnsi="宋体" w:eastAsia="宋体" w:cs="宋体"/>
                <w:szCs w:val="22"/>
              </w:rPr>
            </w:pPr>
            <w:r>
              <w:rPr>
                <w:rFonts w:hint="eastAsia" w:ascii="宋体" w:hAnsi="宋体" w:eastAsia="宋体" w:cs="宋体"/>
                <w:szCs w:val="22"/>
              </w:rPr>
              <w:t xml:space="preserve">1.固体废弃物处理有效率100%；       </w:t>
            </w:r>
            <w:r>
              <w:rPr>
                <w:rFonts w:hint="eastAsia" w:ascii="宋体" w:hAnsi="宋体" w:eastAsia="宋体" w:cs="宋体"/>
                <w:szCs w:val="22"/>
                <w:lang w:val="en-US" w:eastAsia="zh-CN"/>
              </w:rPr>
              <w:t>1</w:t>
            </w:r>
            <w:r>
              <w:rPr>
                <w:rFonts w:hint="eastAsia" w:ascii="宋体" w:hAnsi="宋体" w:eastAsia="宋体" w:cs="宋体"/>
                <w:szCs w:val="22"/>
              </w:rPr>
              <w:t>00%</w:t>
            </w:r>
          </w:p>
          <w:p>
            <w:pPr>
              <w:rPr>
                <w:rFonts w:hint="eastAsia" w:ascii="宋体" w:hAnsi="宋体" w:eastAsia="宋体" w:cs="宋体"/>
                <w:szCs w:val="22"/>
              </w:rPr>
            </w:pPr>
            <w:r>
              <w:rPr>
                <w:rFonts w:hint="eastAsia" w:ascii="宋体" w:hAnsi="宋体" w:eastAsia="宋体" w:cs="宋体"/>
                <w:szCs w:val="22"/>
              </w:rPr>
              <w:t>2.火灾事故为零                        0</w:t>
            </w:r>
          </w:p>
          <w:p>
            <w:pPr>
              <w:rPr>
                <w:rFonts w:hint="eastAsia" w:ascii="宋体" w:hAnsi="宋体" w:eastAsia="宋体" w:cs="宋体"/>
                <w:szCs w:val="22"/>
              </w:rPr>
            </w:pPr>
            <w:r>
              <w:rPr>
                <w:rFonts w:hint="eastAsia" w:ascii="宋体" w:hAnsi="宋体" w:eastAsia="宋体" w:cs="宋体"/>
                <w:szCs w:val="22"/>
              </w:rPr>
              <w:t>职业健康安全目标：</w:t>
            </w:r>
          </w:p>
          <w:p>
            <w:pPr>
              <w:rPr>
                <w:rFonts w:hint="eastAsia" w:ascii="宋体" w:hAnsi="宋体" w:eastAsia="宋体" w:cs="宋体"/>
                <w:szCs w:val="22"/>
              </w:rPr>
            </w:pPr>
            <w:r>
              <w:rPr>
                <w:rFonts w:hint="eastAsia" w:ascii="宋体" w:hAnsi="宋体" w:eastAsia="宋体" w:cs="宋体"/>
                <w:szCs w:val="22"/>
              </w:rPr>
              <w:t>1) 火灾事故为零；                     0</w:t>
            </w:r>
          </w:p>
          <w:p>
            <w:pPr>
              <w:rPr>
                <w:rFonts w:hint="eastAsia" w:ascii="宋体" w:hAnsi="宋体" w:eastAsia="宋体" w:cs="宋体"/>
                <w:szCs w:val="22"/>
              </w:rPr>
            </w:pPr>
            <w:r>
              <w:rPr>
                <w:rFonts w:hint="eastAsia" w:ascii="宋体" w:hAnsi="宋体" w:eastAsia="宋体" w:cs="宋体"/>
                <w:szCs w:val="22"/>
              </w:rPr>
              <w:t>以上目标指标均已完成。</w:t>
            </w:r>
          </w:p>
          <w:p>
            <w:pPr>
              <w:rPr>
                <w:rFonts w:hint="eastAsia" w:ascii="宋体" w:hAnsi="宋体" w:eastAsia="宋体" w:cs="宋体"/>
                <w:szCs w:val="22"/>
              </w:rPr>
            </w:pPr>
            <w:r>
              <w:rPr>
                <w:rFonts w:hint="eastAsia" w:ascii="宋体" w:hAnsi="宋体" w:eastAsia="宋体" w:cs="宋体"/>
                <w:szCs w:val="22"/>
              </w:rPr>
              <w:t>提供《目标指标和管理方案》，管理方案规定了措施方法、完成时间表、责任人、资金等情况。</w:t>
            </w:r>
          </w:p>
          <w:p>
            <w:pPr>
              <w:rPr>
                <w:rFonts w:hint="eastAsia" w:ascii="宋体" w:hAnsi="宋体" w:eastAsia="宋体" w:cs="宋体"/>
                <w:szCs w:val="22"/>
                <w:lang w:val="en-US" w:eastAsia="zh-CN"/>
              </w:rPr>
            </w:pPr>
            <w:r>
              <w:rPr>
                <w:rFonts w:hint="eastAsia" w:ascii="宋体" w:hAnsi="宋体" w:eastAsia="宋体" w:cs="宋体"/>
                <w:szCs w:val="22"/>
              </w:rPr>
              <w:t>以上目标指标均已完成，管理方案有效。</w:t>
            </w:r>
          </w:p>
        </w:tc>
        <w:tc>
          <w:tcPr>
            <w:tcW w:w="708" w:type="dxa"/>
          </w:tcPr>
          <w:p>
            <w:pPr>
              <w:spacing w:line="360" w:lineRule="auto"/>
            </w:pPr>
          </w:p>
          <w:p>
            <w:pPr>
              <w:pStyle w:val="2"/>
            </w:pPr>
          </w:p>
          <w:p>
            <w:pPr>
              <w:pStyle w:val="3"/>
              <w:rPr>
                <w:rFonts w:ascii="楷体" w:hAnsi="楷体" w:eastAsia="楷体"/>
                <w:sz w:val="24"/>
                <w:szCs w:val="24"/>
              </w:rPr>
            </w:pPr>
          </w:p>
          <w:p>
            <w:pPr>
              <w:pStyle w:val="3"/>
              <w:rPr>
                <w:rFonts w:ascii="楷体" w:hAnsi="楷体" w:eastAsia="楷体"/>
                <w:sz w:val="24"/>
                <w:szCs w:val="24"/>
              </w:rPr>
            </w:pPr>
          </w:p>
          <w:p>
            <w:pPr>
              <w:pStyle w:val="3"/>
              <w:ind w:left="0" w:leftChars="0" w:firstLine="0" w:firstLineChars="0"/>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54" w:type="dxa"/>
            <w:vAlign w:val="center"/>
          </w:tcPr>
          <w:p>
            <w:pPr>
              <w:rPr>
                <w:rFonts w:hint="eastAsia"/>
                <w:szCs w:val="22"/>
                <w:lang w:val="en-US" w:eastAsia="zh-CN"/>
              </w:rPr>
            </w:pPr>
            <w:r>
              <w:rPr>
                <w:rFonts w:hint="eastAsia"/>
                <w:szCs w:val="22"/>
              </w:rPr>
              <w:t>变更的策划</w:t>
            </w:r>
          </w:p>
        </w:tc>
        <w:tc>
          <w:tcPr>
            <w:tcW w:w="893" w:type="dxa"/>
            <w:vAlign w:val="center"/>
          </w:tcPr>
          <w:p>
            <w:pPr>
              <w:rPr>
                <w:rFonts w:hint="eastAsia"/>
                <w:szCs w:val="22"/>
                <w:lang w:val="en-US" w:eastAsia="zh-CN"/>
              </w:rPr>
            </w:pPr>
            <w:r>
              <w:rPr>
                <w:rFonts w:hint="eastAsia"/>
                <w:szCs w:val="22"/>
              </w:rPr>
              <w:t>Q：6.3</w:t>
            </w:r>
          </w:p>
        </w:tc>
        <w:tc>
          <w:tcPr>
            <w:tcW w:w="11454" w:type="dxa"/>
            <w:vAlign w:val="center"/>
          </w:tcPr>
          <w:p>
            <w:pPr>
              <w:rPr>
                <w:rFonts w:hint="eastAsia"/>
                <w:szCs w:val="22"/>
                <w:lang w:val="en-US" w:eastAsia="zh-CN"/>
              </w:rPr>
            </w:pPr>
            <w:r>
              <w:rPr>
                <w:rFonts w:hint="eastAsia"/>
                <w:szCs w:val="22"/>
              </w:rPr>
              <w:t>总经理介绍变更时应考虑到：变更目的及其潜在后果；管理体系的完整性；资源的可获得性；责任和权限的分配或再分配。并要求对变更管理体系应进行评审，确保文件的适宜性，经批准后发布实施</w:t>
            </w:r>
            <w:r>
              <w:rPr>
                <w:rFonts w:hint="eastAsia"/>
                <w:szCs w:val="22"/>
                <w:lang w:eastAsia="zh-CN"/>
              </w:rPr>
              <w:t>。</w:t>
            </w:r>
          </w:p>
        </w:tc>
        <w:tc>
          <w:tcPr>
            <w:tcW w:w="708" w:type="dxa"/>
          </w:tcPr>
          <w:p>
            <w:pPr>
              <w:pStyle w:val="2"/>
              <w:rPr>
                <w:rFonts w:hint="default" w:eastAsia="楷体"/>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65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893" w:type="dxa"/>
            <w:vAlign w:val="center"/>
          </w:tcPr>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QEO：9.3  </w:t>
            </w:r>
          </w:p>
        </w:tc>
        <w:tc>
          <w:tcPr>
            <w:tcW w:w="11454" w:type="dxa"/>
            <w:vAlign w:val="center"/>
          </w:tcPr>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查看《管理评审程序》，基本符合要求。202</w:t>
            </w:r>
            <w:r>
              <w:rPr>
                <w:rFonts w:hint="eastAsia" w:ascii="宋体" w:hAnsi="宋体" w:cs="宋体"/>
                <w:sz w:val="21"/>
                <w:szCs w:val="21"/>
                <w:lang w:val="en-US" w:eastAsia="zh-CN"/>
              </w:rPr>
              <w:t>1</w:t>
            </w:r>
            <w:r>
              <w:rPr>
                <w:rFonts w:hint="eastAsia" w:ascii="宋体" w:hAnsi="宋体" w:eastAsia="宋体" w:cs="宋体"/>
                <w:sz w:val="21"/>
                <w:szCs w:val="21"/>
              </w:rPr>
              <w:t>年01月</w:t>
            </w:r>
            <w:r>
              <w:rPr>
                <w:rFonts w:hint="eastAsia" w:ascii="宋体" w:hAnsi="宋体" w:cs="宋体"/>
                <w:sz w:val="21"/>
                <w:szCs w:val="21"/>
                <w:lang w:val="en-US" w:eastAsia="zh-CN"/>
              </w:rPr>
              <w:t>28</w:t>
            </w:r>
            <w:r>
              <w:rPr>
                <w:rFonts w:hint="eastAsia" w:ascii="宋体" w:hAnsi="宋体" w:eastAsia="宋体" w:cs="宋体"/>
                <w:sz w:val="21"/>
                <w:szCs w:val="21"/>
              </w:rPr>
              <w:t>日上午进行了管理评审。</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 xml:space="preserve">查看“管理评审计划”，由编制：窦彩芝 批准：窦印良  ；内容包括；评审目的、评审时间、参加部门人员、评审输入内容等。             </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管理评审输出：</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提出了</w:t>
            </w:r>
            <w:r>
              <w:rPr>
                <w:rFonts w:hint="eastAsia" w:ascii="宋体" w:hAnsi="宋体" w:eastAsia="宋体" w:cs="宋体"/>
                <w:sz w:val="21"/>
                <w:szCs w:val="21"/>
                <w:lang w:val="en-US" w:eastAsia="zh-CN"/>
              </w:rPr>
              <w:t>2</w:t>
            </w:r>
            <w:r>
              <w:rPr>
                <w:rFonts w:hint="eastAsia" w:ascii="宋体" w:hAnsi="宋体" w:eastAsia="宋体" w:cs="宋体"/>
                <w:sz w:val="21"/>
                <w:szCs w:val="21"/>
              </w:rPr>
              <w:t>项改进措施:</w:t>
            </w:r>
            <w:r>
              <w:rPr>
                <w:rFonts w:hint="eastAsia" w:ascii="宋体" w:hAnsi="宋体" w:eastAsia="宋体" w:cs="宋体"/>
                <w:sz w:val="21"/>
                <w:szCs w:val="21"/>
                <w:lang w:val="en-US" w:eastAsia="zh-CN"/>
              </w:rPr>
              <w:t>a</w:t>
            </w:r>
            <w:r>
              <w:rPr>
                <w:rFonts w:hint="eastAsia" w:ascii="宋体" w:hAnsi="宋体" w:eastAsia="宋体" w:cs="宋体"/>
                <w:sz w:val="21"/>
                <w:szCs w:val="21"/>
              </w:rPr>
              <w:t>加强ISO9001:2015、ISO14001:2015和ISO45001:2018培训；</w:t>
            </w:r>
            <w:r>
              <w:rPr>
                <w:rFonts w:hint="eastAsia" w:ascii="宋体" w:hAnsi="宋体" w:eastAsia="宋体" w:cs="宋体"/>
                <w:sz w:val="21"/>
                <w:szCs w:val="21"/>
                <w:lang w:val="en-US" w:eastAsia="zh-CN"/>
              </w:rPr>
              <w:t>b</w:t>
            </w:r>
            <w:r>
              <w:rPr>
                <w:rFonts w:hint="eastAsia" w:ascii="宋体" w:hAnsi="宋体" w:eastAsia="宋体" w:cs="宋体"/>
                <w:sz w:val="21"/>
                <w:szCs w:val="21"/>
              </w:rPr>
              <w:t>加强员工销售能力考核，加大管理过程式监测力度：</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招聘有经验的销售人员2-3人。</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加强员工销售能力考核，加大管理过程式监测力度；</w:t>
            </w:r>
          </w:p>
          <w:p>
            <w:pPr>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708" w:type="dxa"/>
          </w:tcPr>
          <w:p>
            <w:pPr>
              <w:spacing w:line="360" w:lineRule="auto"/>
            </w:pPr>
          </w:p>
          <w:p>
            <w:pPr>
              <w:pStyle w:val="2"/>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ind w:left="0" w:leftChars="0" w:firstLine="0" w:firstLineChars="0"/>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654"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89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QEO：10.1、10.3</w:t>
            </w:r>
          </w:p>
        </w:tc>
        <w:tc>
          <w:tcPr>
            <w:tcW w:w="1145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708" w:type="dxa"/>
          </w:tcPr>
          <w:p>
            <w:pPr>
              <w:spacing w:line="360" w:lineRule="auto"/>
            </w:pPr>
          </w:p>
          <w:p>
            <w:pPr>
              <w:pStyle w:val="2"/>
              <w:rPr>
                <w:rFonts w:hint="default" w:eastAsia="楷体"/>
                <w:lang w:val="en-US" w:eastAsia="zh-CN"/>
              </w:rPr>
            </w:pPr>
            <w:r>
              <w:rPr>
                <w:rFonts w:hint="eastAsia" w:ascii="楷体" w:hAnsi="楷体" w:eastAsia="楷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1654" w:type="dxa"/>
            <w:vAlign w:val="top"/>
          </w:tcPr>
          <w:p>
            <w:pPr>
              <w:snapToGrid w:val="0"/>
              <w:spacing w:line="360" w:lineRule="auto"/>
              <w:rPr>
                <w:rFonts w:hint="eastAsia" w:ascii="宋体" w:hAnsi="宋体" w:eastAsia="宋体" w:cs="宋体"/>
                <w:color w:val="000000"/>
                <w:sz w:val="21"/>
                <w:szCs w:val="21"/>
              </w:rPr>
            </w:pPr>
            <w:r>
              <w:rPr>
                <w:rFonts w:hint="eastAsia" w:ascii="宋体" w:hAnsi="宋体" w:eastAsia="宋体" w:cs="宋体"/>
                <w:sz w:val="21"/>
                <w:szCs w:val="21"/>
                <w:lang w:val="en-US" w:eastAsia="zh-CN"/>
              </w:rPr>
              <w:t>标准/规范/法规的执行情况、上次审核不符合项的验证、认证证书、标志的使用情况、投诉或事故、监督抽查情况、体系变动</w:t>
            </w:r>
          </w:p>
        </w:tc>
        <w:tc>
          <w:tcPr>
            <w:tcW w:w="893" w:type="dxa"/>
            <w:vAlign w:val="top"/>
          </w:tcPr>
          <w:p>
            <w:pPr>
              <w:snapToGrid w:val="0"/>
              <w:spacing w:line="360" w:lineRule="auto"/>
              <w:ind w:firstLine="420" w:firstLineChars="200"/>
              <w:rPr>
                <w:rFonts w:hint="eastAsia" w:ascii="宋体" w:hAnsi="宋体" w:eastAsia="宋体" w:cs="宋体"/>
                <w:color w:val="000000"/>
                <w:sz w:val="21"/>
                <w:szCs w:val="21"/>
              </w:rPr>
            </w:pPr>
          </w:p>
        </w:tc>
        <w:tc>
          <w:tcPr>
            <w:tcW w:w="11454" w:type="dxa"/>
            <w:vAlign w:val="top"/>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公司执行 GB/T19001-2016/ISO 9001:2015、GB/T24001-2016/ISO 14001:2015及GB/T45001—2020/ISO 45001:2018标准，遵守与企业相关的法律法规和地方政策，产品</w:t>
            </w:r>
            <w:r>
              <w:rPr>
                <w:rFonts w:hint="eastAsia" w:ascii="宋体" w:hAnsi="宋体" w:eastAsia="宋体" w:cs="宋体"/>
                <w:color w:val="000000"/>
                <w:sz w:val="21"/>
                <w:szCs w:val="21"/>
                <w:lang w:val="en-US" w:eastAsia="zh-CN"/>
              </w:rPr>
              <w:t>执行企业标准</w:t>
            </w:r>
            <w:r>
              <w:rPr>
                <w:rFonts w:hint="eastAsia" w:ascii="宋体" w:hAnsi="宋体" w:eastAsia="宋体" w:cs="宋体"/>
                <w:color w:val="000000"/>
                <w:sz w:val="21"/>
                <w:szCs w:val="21"/>
              </w:rPr>
              <w:t>；上次审核发现</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一般不符合项，经现场查验均按要求进行了整改，验证合格。认证证书主要为企业招投标使用，产品、包装上未使用相关标志；目前为止</w:t>
            </w:r>
            <w:r>
              <w:rPr>
                <w:rFonts w:hint="eastAsia" w:ascii="宋体" w:hAnsi="宋体" w:eastAsia="宋体" w:cs="宋体"/>
                <w:color w:val="000000"/>
                <w:sz w:val="21"/>
                <w:szCs w:val="21"/>
                <w:lang w:val="en-US" w:eastAsia="zh-CN"/>
              </w:rPr>
              <w:t>未</w:t>
            </w:r>
            <w:r>
              <w:rPr>
                <w:rFonts w:hint="eastAsia" w:ascii="宋体" w:hAnsi="宋体" w:eastAsia="宋体" w:cs="宋体"/>
                <w:color w:val="000000"/>
                <w:sz w:val="21"/>
                <w:szCs w:val="21"/>
              </w:rPr>
              <w:t>发生顾客投诉和事故情况；体系运行正常没有变动。</w:t>
            </w:r>
          </w:p>
        </w:tc>
        <w:tc>
          <w:tcPr>
            <w:tcW w:w="708" w:type="dxa"/>
            <w:vAlign w:val="top"/>
          </w:tcPr>
          <w:p/>
          <w:p>
            <w:pPr>
              <w:pStyle w:val="2"/>
            </w:pPr>
          </w:p>
          <w:p>
            <w:pPr>
              <w:pStyle w:val="3"/>
              <w:rPr>
                <w:rFonts w:ascii="楷体" w:hAnsi="楷体" w:eastAsia="楷体"/>
                <w:color w:val="auto"/>
                <w:sz w:val="24"/>
                <w:szCs w:val="24"/>
              </w:rPr>
            </w:pPr>
          </w:p>
          <w:p>
            <w:pPr>
              <w:pStyle w:val="3"/>
              <w:ind w:left="0" w:leftChars="0" w:firstLine="0" w:firstLineChars="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 xml:space="preserve"> y</w:t>
            </w:r>
          </w:p>
        </w:tc>
      </w:tr>
    </w:tbl>
    <w:p>
      <w:pPr>
        <w:pStyle w:val="6"/>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7E31045"/>
    <w:rsid w:val="086E6A5B"/>
    <w:rsid w:val="08D25264"/>
    <w:rsid w:val="108219C2"/>
    <w:rsid w:val="11920312"/>
    <w:rsid w:val="14EB58D3"/>
    <w:rsid w:val="18A36E43"/>
    <w:rsid w:val="18DA4B79"/>
    <w:rsid w:val="19DF79AB"/>
    <w:rsid w:val="1C424327"/>
    <w:rsid w:val="1E4E7EEF"/>
    <w:rsid w:val="243B4EFE"/>
    <w:rsid w:val="32397FF9"/>
    <w:rsid w:val="334C39D0"/>
    <w:rsid w:val="35107CFD"/>
    <w:rsid w:val="35AB230E"/>
    <w:rsid w:val="372911ED"/>
    <w:rsid w:val="373958E7"/>
    <w:rsid w:val="386D46DB"/>
    <w:rsid w:val="3C0E565E"/>
    <w:rsid w:val="499E5617"/>
    <w:rsid w:val="4FE1154F"/>
    <w:rsid w:val="51FA7BA5"/>
    <w:rsid w:val="581D7B68"/>
    <w:rsid w:val="5EA12B9A"/>
    <w:rsid w:val="60B66F5B"/>
    <w:rsid w:val="63743DBE"/>
    <w:rsid w:val="680151E4"/>
    <w:rsid w:val="68714B83"/>
    <w:rsid w:val="68B8560A"/>
    <w:rsid w:val="6F1216C3"/>
    <w:rsid w:val="6FEF2BA8"/>
    <w:rsid w:val="709D04F4"/>
    <w:rsid w:val="79403FCC"/>
    <w:rsid w:val="7CDB027D"/>
    <w:rsid w:val="7FB82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List 3"/>
    <w:basedOn w:val="1"/>
    <w:qFormat/>
    <w:uiPriority w:val="0"/>
    <w:pPr>
      <w:ind w:left="100" w:leftChars="400" w:hanging="200" w:hangingChars="200"/>
    </w:p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7"/>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fontstyle01"/>
    <w:qFormat/>
    <w:uiPriority w:val="99"/>
    <w:rPr>
      <w:rFonts w:ascii="宋体" w:hAnsi="宋体" w:eastAsia="宋体" w:cs="Times New Roman"/>
      <w:color w:val="000000"/>
      <w:sz w:val="24"/>
      <w:szCs w:val="24"/>
    </w:rPr>
  </w:style>
  <w:style w:type="character" w:customStyle="1" w:styleId="16">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22</TotalTime>
  <ScaleCrop>false</ScaleCrop>
  <LinksUpToDate>false</LinksUpToDate>
  <CharactersWithSpaces>7097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李俐</cp:lastModifiedBy>
  <dcterms:modified xsi:type="dcterms:W3CDTF">2021-06-08T10:22:03Z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FEF3753932A442B7A9724D265D527049</vt:lpwstr>
  </property>
</Properties>
</file>