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51"/>
        <w:gridCol w:w="957"/>
        <w:gridCol w:w="3"/>
        <w:gridCol w:w="742"/>
        <w:gridCol w:w="3"/>
        <w:gridCol w:w="402"/>
        <w:gridCol w:w="8849"/>
        <w:gridCol w:w="8"/>
        <w:gridCol w:w="1583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5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受审核部门：品控部   主管领导：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陈英</w:t>
            </w:r>
            <w:r>
              <w:rPr>
                <w:rFonts w:hint="eastAsia" w:ascii="宋体" w:hAnsi="宋体" w:cs="Arial"/>
                <w:szCs w:val="21"/>
              </w:rPr>
              <w:t xml:space="preserve">  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洪庆莲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审核员：林兵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）（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见证邝柏臣EO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 xml:space="preserve"> 邝柏臣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(EO)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被林兵见证EO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 xml:space="preserve"> 肖新龙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QF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 xml:space="preserve"> 石帆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(Q)</w:t>
            </w:r>
            <w:r>
              <w:rPr>
                <w:rFonts w:hint="eastAsia" w:ascii="宋体" w:hAnsi="宋体" w:cs="Arial"/>
                <w:szCs w:val="21"/>
              </w:rPr>
              <w:t xml:space="preserve">    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审核时间：2021年6月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9日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Q:</w:t>
            </w:r>
            <w:r>
              <w:rPr>
                <w:rFonts w:hint="eastAsia"/>
                <w:szCs w:val="21"/>
              </w:rPr>
              <w:t>5.3/</w:t>
            </w:r>
            <w:r>
              <w:rPr>
                <w:szCs w:val="21"/>
              </w:rPr>
              <w:t>6.2/7.1.5/7.4/8.6/8.7/9.1.3/10.2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E/O:</w:t>
            </w:r>
            <w:r>
              <w:rPr>
                <w:rFonts w:hint="eastAsia"/>
                <w:szCs w:val="21"/>
              </w:rPr>
              <w:t>5.3/</w:t>
            </w:r>
            <w:r>
              <w:rPr>
                <w:szCs w:val="21"/>
              </w:rPr>
              <w:t>6.1.2/6.1.4/6.2/8.1/8.2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F：</w:t>
            </w:r>
            <w:r>
              <w:rPr>
                <w:szCs w:val="21"/>
              </w:rPr>
              <w:t>5.3/6.2/8.2/8.5.4/8.7/8.8/8.9/9.1.2;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  <w:gridSpan w:val="2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  <w:gridSpan w:val="2"/>
          </w:tcPr>
          <w:p>
            <w:r>
              <w:rPr>
                <w:rFonts w:ascii="宋体" w:hAnsi="宋体" w:cs="Arial"/>
                <w:szCs w:val="21"/>
              </w:rPr>
              <w:t>QEOF:5.3</w:t>
            </w:r>
            <w:r>
              <w:t xml:space="preserve"> </w:t>
            </w:r>
          </w:p>
        </w:tc>
        <w:tc>
          <w:tcPr>
            <w:tcW w:w="10004" w:type="dxa"/>
            <w:gridSpan w:val="5"/>
          </w:tcPr>
          <w:p>
            <w:pPr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该</w:t>
            </w:r>
            <w:r>
              <w:rPr>
                <w:color w:val="000000"/>
                <w:szCs w:val="21"/>
              </w:rPr>
              <w:t>部门人</w:t>
            </w:r>
            <w:r>
              <w:rPr>
                <w:rFonts w:hint="eastAsia"/>
                <w:color w:val="000000"/>
                <w:szCs w:val="21"/>
              </w:rPr>
              <w:t>员</w:t>
            </w:r>
            <w:r>
              <w:rPr>
                <w:color w:val="000000"/>
                <w:szCs w:val="21"/>
              </w:rPr>
              <w:t>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>；</w:t>
            </w:r>
          </w:p>
          <w:p>
            <w:pPr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询问部门负责人本部门的职责和权限有：负责原材料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采购的</w:t>
            </w:r>
            <w:r>
              <w:rPr>
                <w:rFonts w:hint="eastAsia"/>
                <w:color w:val="000000"/>
                <w:szCs w:val="21"/>
              </w:rPr>
              <w:t>的监视和测量；负责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计量设备</w:t>
            </w:r>
            <w:r>
              <w:rPr>
                <w:rFonts w:hint="eastAsia"/>
                <w:color w:val="000000"/>
                <w:szCs w:val="21"/>
              </w:rPr>
              <w:t>的管理，负责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贮存和运输</w:t>
            </w:r>
            <w:r>
              <w:rPr>
                <w:rFonts w:hint="eastAsia"/>
                <w:color w:val="000000"/>
                <w:szCs w:val="21"/>
              </w:rPr>
              <w:t>过程的监视和测量，负责不合格品的控制；负责本部门质量/食品安全、环境、职业健康安全管理体系的运行控制；负责本部门的环境因素和危险源的识别、评价及更新；与手册中 规定的相关职责和权限相吻合。部门经理对本部门的职责和权限以及工作流程清楚、明确。</w:t>
            </w:r>
          </w:p>
          <w:p>
            <w:pPr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配备了灭火器材，固废分类箱。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部门负责人对本部门的职责和权限以及工作流程清楚、明确完成本部门的目标指标。能较好回答部门质量、环境、职业健康和食品安全职责，对工作要求明确。</w:t>
            </w: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  <w:gridSpan w:val="2"/>
          </w:tcPr>
          <w:p>
            <w:r>
              <w:rPr>
                <w:rFonts w:hint="eastAsia" w:ascii="宋体" w:hAnsi="宋体" w:cs="Arial"/>
                <w:szCs w:val="21"/>
              </w:rPr>
              <w:t>质量环境与职业健康安全目标</w:t>
            </w:r>
          </w:p>
        </w:tc>
        <w:tc>
          <w:tcPr>
            <w:tcW w:w="960" w:type="dxa"/>
            <w:gridSpan w:val="2"/>
          </w:tcPr>
          <w:p>
            <w:r>
              <w:rPr>
                <w:rFonts w:ascii="宋体" w:hAnsi="宋体" w:cs="Arial"/>
                <w:szCs w:val="21"/>
              </w:rPr>
              <w:t>QEOF:6.2</w:t>
            </w:r>
          </w:p>
        </w:tc>
        <w:tc>
          <w:tcPr>
            <w:tcW w:w="10004" w:type="dxa"/>
            <w:gridSpan w:val="5"/>
          </w:tcPr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  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查品控部部门质量、环境、职业健康安全目标已明确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项：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hint="eastAsia" w:ascii="宋体" w:hAnsi="宋体" w:cs="宋体-PUA"/>
                <w:szCs w:val="21"/>
              </w:rPr>
              <w:t>1、</w:t>
            </w:r>
            <w:r>
              <w:rPr>
                <w:rFonts w:hint="eastAsia"/>
                <w:szCs w:val="21"/>
              </w:rPr>
              <w:t>出厂产品合格率100%；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ascii="宋体" w:hAnsi="宋体" w:cs="宋体-PUA"/>
                <w:szCs w:val="21"/>
              </w:rPr>
              <w:t>2</w:t>
            </w:r>
            <w:r>
              <w:rPr>
                <w:rFonts w:hint="eastAsia" w:ascii="宋体" w:hAnsi="宋体" w:cs="宋体-PU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不发生重大质量安全事故；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hint="eastAsia"/>
                <w:szCs w:val="21"/>
              </w:rPr>
              <w:t>3、进货检验合格率≥ 98%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hint="eastAsia" w:ascii="宋体" w:hAnsi="宋体" w:cs="宋体-PUA"/>
                <w:szCs w:val="21"/>
              </w:rPr>
              <w:t>4、固废分类处置率100%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ascii="宋体" w:hAnsi="宋体" w:cs="宋体-PUA"/>
                <w:szCs w:val="21"/>
              </w:rPr>
              <w:t>4</w:t>
            </w:r>
            <w:r>
              <w:rPr>
                <w:rFonts w:hint="eastAsia" w:ascii="宋体" w:hAnsi="宋体" w:cs="宋体-PUA"/>
                <w:szCs w:val="21"/>
              </w:rPr>
              <w:t>、重大人身伤亡事故和火灾事故发生率为零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-PUA"/>
                <w:szCs w:val="21"/>
              </w:rPr>
            </w:pPr>
            <w:r>
              <w:rPr>
                <w:rFonts w:hint="eastAsia" w:ascii="宋体" w:hAnsi="宋体" w:cs="宋体-PUA"/>
                <w:szCs w:val="21"/>
              </w:rPr>
              <w:t>经考核，2</w:t>
            </w:r>
            <w:r>
              <w:rPr>
                <w:rFonts w:ascii="宋体" w:hAnsi="宋体" w:cs="宋体-PUA"/>
                <w:szCs w:val="21"/>
              </w:rPr>
              <w:t>021</w:t>
            </w:r>
            <w:r>
              <w:rPr>
                <w:rFonts w:hint="eastAsia" w:ascii="宋体" w:hAnsi="宋体" w:cs="宋体-PUA"/>
                <w:szCs w:val="21"/>
              </w:rPr>
              <w:t>年1-</w:t>
            </w:r>
            <w:r>
              <w:rPr>
                <w:rFonts w:ascii="宋体" w:hAnsi="宋体" w:cs="宋体-PUA"/>
                <w:szCs w:val="21"/>
              </w:rPr>
              <w:t>5</w:t>
            </w:r>
            <w:r>
              <w:rPr>
                <w:rFonts w:hint="eastAsia" w:ascii="宋体" w:hAnsi="宋体" w:cs="宋体-PUA"/>
                <w:szCs w:val="21"/>
              </w:rPr>
              <w:t>月已达成目标要求。</w:t>
            </w:r>
          </w:p>
          <w:p>
            <w:pPr>
              <w:spacing w:line="300" w:lineRule="exact"/>
              <w:ind w:left="1411" w:hanging="1411" w:hangingChars="672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gridSpan w:val="2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环境因素、危险源的识别、评价及重要环境因素和不可接收风险</w:t>
            </w: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ascii="宋体" w:hAnsi="宋体" w:cs="Arial"/>
                <w:szCs w:val="21"/>
                <w:highlight w:val="none"/>
              </w:rPr>
              <w:t>EO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6.1.2</w:t>
            </w:r>
          </w:p>
        </w:tc>
        <w:tc>
          <w:tcPr>
            <w:tcW w:w="1000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公司制定了“《环境因素识别与评价管理程序》”和“《危险源辨识与风险评价控制措施管理程序》”，基本符合要求。根据程序文件规定，品控部有关人员对环境因素和危险源进行了识别。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环境因素：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查见“环境因素识别评价表”，有编制和批准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识别出环境因素有：</w:t>
            </w:r>
            <w:r>
              <w:rPr>
                <w:rFonts w:hint="eastAsia" w:ascii="新宋体" w:hAnsi="新宋体" w:eastAsia="新宋体"/>
                <w:szCs w:val="21"/>
                <w:highlight w:val="none"/>
              </w:rPr>
              <w:t>电的消耗、水的消耗、废水的排放、生活垃圾的产生、废纸笔的产生、</w:t>
            </w:r>
            <w:r>
              <w:rPr>
                <w:rFonts w:hint="eastAsia" w:ascii="新宋体" w:hAnsi="新宋体" w:eastAsia="新宋体" w:cs="宋体"/>
                <w:kern w:val="0"/>
                <w:szCs w:val="21"/>
                <w:highlight w:val="none"/>
              </w:rPr>
              <w:t>制冷剂、臭氧层的破坏、制冷剂、臭氧层的破坏</w:t>
            </w:r>
            <w:r>
              <w:rPr>
                <w:rFonts w:hint="eastAsia"/>
                <w:szCs w:val="21"/>
                <w:highlight w:val="none"/>
              </w:rPr>
              <w:t>等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对识别出的环境因素进行了评价，评价方法：采用是打分法。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评价出重要环境因素是：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新宋体" w:hAnsi="新宋体" w:eastAsia="新宋体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危废（墨盒、硒鼓、灯管）排放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火灾发生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</w:rPr>
              <w:t>能源、资源的消耗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已列入公司重要环境因素清单。</w:t>
            </w:r>
          </w:p>
          <w:p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填写人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洪庆莲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，审批为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阙长峰</w:t>
            </w:r>
            <w:r>
              <w:rPr>
                <w:rFonts w:hint="eastAsia"/>
                <w:szCs w:val="21"/>
                <w:highlight w:val="none"/>
              </w:rPr>
              <w:t>，时间为202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1.01.18</w:t>
            </w:r>
            <w:r>
              <w:rPr>
                <w:rFonts w:hint="eastAsia"/>
                <w:szCs w:val="21"/>
                <w:highlight w:val="none"/>
              </w:rPr>
              <w:t>；询问审核周期内，没有发生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与服务</w:t>
            </w:r>
            <w:r>
              <w:rPr>
                <w:rFonts w:hint="eastAsia"/>
                <w:szCs w:val="21"/>
                <w:highlight w:val="none"/>
              </w:rPr>
              <w:t>、工艺、产品等重大变化，环境因素无重大变化情况。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危险源辨识、风险评价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查见“危险源辩识与风险评价清单”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识别出的危险源是：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无消防措施、制度和灭火器材、灭火器材配置不合理、无消防水源或不能满足消防要求、办公现场吸烟、电线老化、乱拉乱接、水质不符合饮用水标准、</w:t>
            </w:r>
            <w:r>
              <w:rPr>
                <w:rFonts w:hint="eastAsia" w:ascii="宋体"/>
                <w:szCs w:val="21"/>
                <w:highlight w:val="none"/>
              </w:rPr>
              <w:t>办公区域设备无接地与漏电保护、</w:t>
            </w:r>
            <w:r>
              <w:rPr>
                <w:rFonts w:hint="eastAsia"/>
                <w:szCs w:val="21"/>
                <w:highlight w:val="none"/>
              </w:rPr>
              <w:t>末按规定定期体验、传染病末按规定治疗、职业病治疗资金未落实、电脑操作时间过长、潜在火灾发生、原料、货物搬运、设备操作、维护、冷库进出货物、冷库进出货物、冷库进出货物、冷库进出货物等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等，并对识别出的危险源进行了评价，评价方法：采用LEC法， 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评价出不可接受风险清单是：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szCs w:val="21"/>
                <w:highlight w:val="none"/>
              </w:rPr>
              <w:t>办公现场吸烟、办公场所电线老化、乱拉乱接、配送途中发生交通事故、潜在的火灾、</w:t>
            </w:r>
            <w:r>
              <w:rPr>
                <w:rFonts w:hint="eastAsia" w:ascii="宋体" w:hAnsi="宋体" w:cs="黑体"/>
                <w:szCs w:val="21"/>
                <w:highlight w:val="none"/>
                <w:lang w:val="en-US" w:eastAsia="zh-CN"/>
              </w:rPr>
              <w:t>中暑等</w:t>
            </w:r>
            <w:r>
              <w:rPr>
                <w:rFonts w:hint="eastAsia" w:ascii="宋体" w:hAnsi="宋体"/>
                <w:szCs w:val="21"/>
                <w:highlight w:val="none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已列入公司不可接受风险控制清单。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检查办公区域和检验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eastAsia"/>
                <w:szCs w:val="21"/>
                <w:highlight w:val="none"/>
              </w:rPr>
              <w:t>活动过程中的危险/环境因素与清单对应，识别充分有效。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填写人为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洪庆莲 </w:t>
            </w:r>
            <w:r>
              <w:rPr>
                <w:rFonts w:hint="eastAsia"/>
                <w:szCs w:val="21"/>
                <w:highlight w:val="none"/>
              </w:rPr>
              <w:t>，审批为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阙长峰</w:t>
            </w:r>
            <w:r>
              <w:rPr>
                <w:rFonts w:hint="eastAsia"/>
                <w:szCs w:val="21"/>
                <w:highlight w:val="none"/>
              </w:rPr>
              <w:t>，时间为202</w:t>
            </w: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.</w:t>
            </w: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.</w:t>
            </w:r>
            <w:r>
              <w:rPr>
                <w:szCs w:val="21"/>
                <w:highlight w:val="none"/>
              </w:rPr>
              <w:t>18</w:t>
            </w:r>
            <w:r>
              <w:rPr>
                <w:rFonts w:hint="eastAsia"/>
                <w:szCs w:val="21"/>
                <w:highlight w:val="none"/>
              </w:rPr>
              <w:t>；询问审核周期内，没有发生生产、工艺、产品等重大变化，所开发的新品与原有产品基本一致，危险源无重大变化情况。</w:t>
            </w:r>
          </w:p>
          <w:p>
            <w:pPr>
              <w:spacing w:line="360" w:lineRule="auto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控制基本符合要求。</w:t>
            </w: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60" w:type="dxa"/>
            <w:gridSpan w:val="2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措施的策划</w:t>
            </w:r>
          </w:p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在制定环境和职业健康安全目标指标时，</w:t>
            </w:r>
            <w:r>
              <w:rPr>
                <w:rFonts w:hint="eastAsia" w:ascii="宋体" w:hAnsi="宋体" w:cs="宋体"/>
                <w:szCs w:val="21"/>
              </w:rPr>
              <w:t>品控部负责制定本部门的环境、职业健康安全目标及管理方案，总经理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阙长峰</w:t>
            </w:r>
            <w:r>
              <w:rPr>
                <w:rFonts w:hint="eastAsia" w:ascii="宋体" w:hAnsi="宋体" w:cs="宋体"/>
                <w:szCs w:val="21"/>
              </w:rPr>
              <w:t>负责批准。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管理方案的实施，品控部每半年对方案实施情况进行检查跟踪，向总经理报告；一般在管理评审之前对环境、职业健康安全目标及管理方案由技术部对其进行评审，并将完成情况以书面形式呈报管理者代表，以便提交管理评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同时，品控部根据所识别的环境因素和危险源，如</w:t>
            </w:r>
            <w:r>
              <w:rPr>
                <w:rFonts w:hint="eastAsia" w:ascii="宋体" w:hAnsi="宋体"/>
                <w:szCs w:val="21"/>
              </w:rPr>
              <w:t>电的消耗、水的消耗、废水的排放、生活垃圾的产生、废纸笔的产生、办公现场吸烟、电线老化、乱拉乱接、办公区域设备无接地与漏电保护</w:t>
            </w:r>
            <w:r>
              <w:rPr>
                <w:rFonts w:hint="eastAsia" w:ascii="宋体" w:hAnsi="宋体" w:cs="宋体"/>
                <w:szCs w:val="21"/>
              </w:rPr>
              <w:t>等确定相应的控制措施。对触电、火灾、交通事故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中暑</w:t>
            </w:r>
            <w:r>
              <w:rPr>
                <w:rFonts w:hint="eastAsia" w:ascii="宋体" w:hAnsi="宋体" w:cs="宋体"/>
                <w:szCs w:val="21"/>
              </w:rPr>
              <w:t>等通过教育培训，编制预案等进行管理，以确保各类风险的识别。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line="360" w:lineRule="auto"/>
              <w:ind w:firstLine="632" w:firstLineChars="30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品控部环境安全管理方案：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①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落实固体废弃物管理责任制，严格管理。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2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加强检查、巡视，发现不合格及时采取纠正和预防措施。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3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③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严格按可回收、不可回收和危废分类处理；合理划分可回收、不可回收和危废的临时存放区域。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4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④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与相关方加强沟通和施加影响，如向外来人员宣传环境保护要求，与垃圾处理、环境保护部门加强沟通，及时清运。</w:t>
            </w:r>
          </w:p>
          <w:p>
            <w:pPr>
              <w:spacing w:line="360" w:lineRule="auto"/>
              <w:ind w:firstLine="632" w:firstLineChars="300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职业健康安全管理方案：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1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①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成立安全领导小组，监督日常安全工作；落实消防工作责任制，严格管理。每月对消防设施进行检查，发现不合格消防设施及时更新；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2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②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加强检查、巡视，发现隐患及时采取纠正和预防措施；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3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③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加强对员工防火意识教育，严禁在禁止吸烟处吸烟；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黑体"/>
                <w:bCs/>
                <w:szCs w:val="21"/>
              </w:rPr>
              <w:fldChar w:fldCharType="begin"/>
            </w:r>
            <w:r>
              <w:rPr>
                <w:rFonts w:ascii="宋体" w:hAnsi="宋体" w:cs="黑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 w:cs="黑体"/>
                <w:bCs/>
                <w:szCs w:val="21"/>
              </w:rPr>
              <w:instrText xml:space="preserve">= 4 \* GB3</w:instrText>
            </w:r>
            <w:r>
              <w:rPr>
                <w:rFonts w:ascii="宋体" w:hAnsi="宋体" w:cs="黑体"/>
                <w:bCs/>
                <w:szCs w:val="21"/>
              </w:rPr>
              <w:instrText xml:space="preserve"> </w:instrText>
            </w:r>
            <w:r>
              <w:rPr>
                <w:rFonts w:ascii="宋体" w:hAnsi="宋体" w:cs="黑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 w:cs="黑体"/>
                <w:bCs/>
                <w:szCs w:val="21"/>
              </w:rPr>
              <w:t>④</w:t>
            </w:r>
            <w:r>
              <w:rPr>
                <w:rFonts w:ascii="宋体" w:hAnsi="宋体" w:cs="黑体"/>
                <w:bCs/>
                <w:szCs w:val="21"/>
              </w:rPr>
              <w:fldChar w:fldCharType="end"/>
            </w:r>
            <w:r>
              <w:rPr>
                <w:rFonts w:hint="eastAsia" w:ascii="宋体" w:hAnsi="宋体" w:cs="黑体"/>
                <w:bCs/>
                <w:szCs w:val="21"/>
              </w:rPr>
              <w:t>各种用电设备和线路应符合国家有关安全规定，应有可熔保险和漏电保护，绝缘性能必须良好，并有可靠的接地零保护措施</w:t>
            </w:r>
            <w:r>
              <w:rPr>
                <w:rFonts w:hint="eastAsia" w:ascii="宋体" w:hAnsi="宋体"/>
                <w:bCs/>
                <w:szCs w:val="21"/>
              </w:rPr>
              <w:t>等；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bCs/>
                <w:szCs w:val="21"/>
              </w:rPr>
              <w:instrText xml:space="preserve">= 5 \* GB3</w:instrText>
            </w:r>
            <w:r>
              <w:rPr>
                <w:rFonts w:ascii="宋体" w:hAnsi="宋体"/>
                <w:bCs/>
                <w:szCs w:val="21"/>
              </w:rPr>
              <w:instrText xml:space="preserve"> 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⑤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加强对员工交通法规的宣传和自我保护意识等。</w:t>
            </w: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F8.7</w:t>
            </w:r>
          </w:p>
        </w:tc>
        <w:tc>
          <w:tcPr>
            <w:tcW w:w="1147" w:type="dxa"/>
            <w:gridSpan w:val="3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8857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宋体" w:hAnsi="宋体"/>
              </w:rPr>
              <w:t>监视和测量控制程序</w:t>
            </w:r>
            <w:r>
              <w:rPr>
                <w:rFonts w:hint="eastAsia"/>
                <w:lang w:val="en-US" w:eastAsia="zh-CN"/>
              </w:rPr>
              <w:t>》、手册第7.1.5条款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1147" w:type="dxa"/>
            <w:gridSpan w:val="3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8857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定期验证的计划，频次： 电子监控设备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电子台秤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JL21000638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2022.03.07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仓库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标准溶液控制：（不涉及）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gridSpan w:val="2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信息沟通交流内容、方式、时机</w:t>
            </w: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QE</w:t>
            </w:r>
            <w:r>
              <w:rPr>
                <w:rFonts w:ascii="宋体" w:hAnsi="宋体"/>
                <w:szCs w:val="21"/>
              </w:rPr>
              <w:t>OF</w:t>
            </w: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1000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</w:pPr>
            <w:bookmarkStart w:id="0" w:name="_GoBack"/>
            <w:r>
              <w:rPr>
                <w:rFonts w:hint="eastAsia"/>
              </w:rPr>
              <w:t>公司内部沟通的内容：管理体系的过程及有效性，包括质量、食品安全、环境、职业健康安全要求；质量、食品安全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,有无收到投诉和处罚的情况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外部沟通的内容包括：法律法规要求、质量、市场监管、环保、安监部门等主管部门的要求、外部供方、顾客、房东等相关方面关于质量、环境、安全方面信息的交流；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公司信息交流的对象：不同岗位、部门，对与管理体系有关的各种信息，相互了解，达到全员参与的效果。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公司信息交流的形式和工具：采用各种会议、培训、微信、QQ、文件报告分发、电话、座谈等各种方式。</w:t>
            </w:r>
          </w:p>
          <w:bookmarkEnd w:id="0"/>
          <w:p>
            <w:pPr>
              <w:pStyle w:val="2"/>
            </w:pP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Q8.6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F8.9.4.2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3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 xml:space="preserve">手册8.6条款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《产品/服务的监视和测量控制程序》《产品检验控制程序》或《服务放行控制程序》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86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6"/>
              <w:gridCol w:w="1984"/>
              <w:gridCol w:w="2507"/>
              <w:gridCol w:w="19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50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953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22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外观，索证</w:t>
                  </w:r>
                </w:p>
              </w:tc>
              <w:tc>
                <w:tcPr>
                  <w:tcW w:w="2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前提方案、危害控制计划</w:t>
                  </w:r>
                </w:p>
              </w:tc>
              <w:tc>
                <w:tcPr>
                  <w:tcW w:w="1953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84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/>
              </w:tc>
              <w:tc>
                <w:tcPr>
                  <w:tcW w:w="195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/>
              </w:tc>
              <w:tc>
                <w:tcPr>
                  <w:tcW w:w="195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2236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/>
              </w:tc>
              <w:tc>
                <w:tcPr>
                  <w:tcW w:w="195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36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8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507" w:type="dxa"/>
                </w:tcPr>
                <w:p/>
              </w:tc>
              <w:tc>
                <w:tcPr>
                  <w:tcW w:w="195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3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  入库单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2021-06-08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保质期，无破损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目测正常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——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val="en-US" w:eastAsia="zh-CN"/>
              </w:rPr>
              <w:t>同原料检验，见入库单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  ——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06-09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送货司机（</w:t>
                  </w:r>
                  <w:r>
                    <w:rPr>
                      <w:rFonts w:hint="eastAsia"/>
                      <w:lang w:val="en-US" w:eastAsia="zh-CN"/>
                    </w:rPr>
                    <w:t>浙A-86832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按时按质按量，礼貌热情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无异常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gridSpan w:val="3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51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57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F8.5.4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5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2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vAlign w:val="top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51" w:type="dxa"/>
            <w:vMerge w:val="continue"/>
            <w:shd w:val="clear" w:color="auto" w:fill="auto"/>
          </w:tcPr>
          <w:p/>
        </w:tc>
        <w:tc>
          <w:tcPr>
            <w:tcW w:w="957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2" w:type="dxa"/>
            <w:gridSpan w:val="4"/>
            <w:shd w:val="clear" w:color="auto" w:fill="auto"/>
          </w:tcPr>
          <w:p>
            <w:pPr>
              <w:spacing w:before="240" w:after="1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现场查看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主要是原料验收过程的检验，组织将其设置为OPRP点，具体实施情况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OPRP的实施情况：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414"/>
              <w:gridCol w:w="1980"/>
              <w:gridCol w:w="1749"/>
              <w:gridCol w:w="1627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41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地点</w:t>
                  </w:r>
                </w:p>
              </w:tc>
              <w:tc>
                <w:tcPr>
                  <w:tcW w:w="198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操作限值</w:t>
                  </w:r>
                </w:p>
              </w:tc>
              <w:tc>
                <w:tcPr>
                  <w:tcW w:w="174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162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OPRP1</w:t>
                  </w:r>
                </w:p>
              </w:tc>
              <w:tc>
                <w:tcPr>
                  <w:tcW w:w="1414" w:type="dxa"/>
                </w:tcPr>
                <w:p>
                  <w:pPr>
                    <w:adjustRightInd w:val="0"/>
                    <w:spacing w:line="312" w:lineRule="atLeast"/>
                    <w:textAlignment w:val="baseline"/>
                    <w:rPr>
                      <w:rFonts w:hint="eastAsia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val="en-US" w:eastAsia="zh-CN"/>
                    </w:rPr>
                    <w:t>仓库</w:t>
                  </w:r>
                </w:p>
              </w:tc>
              <w:tc>
                <w:tcPr>
                  <w:tcW w:w="1980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lang w:val="en-US" w:eastAsia="zh-CN"/>
                    </w:rPr>
                    <w:t>索证、产品合格证明文件</w:t>
                  </w:r>
                </w:p>
              </w:tc>
              <w:tc>
                <w:tcPr>
                  <w:tcW w:w="174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外观检查、验证供方的证明</w:t>
                  </w:r>
                </w:p>
              </w:tc>
              <w:tc>
                <w:tcPr>
                  <w:tcW w:w="1627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入库单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符合要求</w:t>
                  </w:r>
                </w:p>
              </w:tc>
            </w:tr>
          </w:tbl>
          <w:p>
            <w:pPr>
              <w:rPr>
                <w:sz w:val="18"/>
                <w:szCs w:val="18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5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57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F8.8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如：《验证和确认控制程序》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1790" w:hRule="atLeast"/>
        </w:trPr>
        <w:tc>
          <w:tcPr>
            <w:tcW w:w="2151" w:type="dxa"/>
            <w:vMerge w:val="continue"/>
            <w:shd w:val="clear" w:color="auto" w:fill="auto"/>
          </w:tcPr>
          <w:p/>
        </w:tc>
        <w:tc>
          <w:tcPr>
            <w:tcW w:w="957" w:type="dxa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3"/>
            <w:shd w:val="clear" w:color="auto" w:fill="auto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食品安全小组已策划与</w:t>
            </w:r>
            <w:r>
              <w:rPr>
                <w:rFonts w:hint="eastAsia"/>
              </w:rPr>
              <w:t xml:space="preserve"> PRP、危害控制计划有关的验证</w:t>
            </w:r>
            <w:r>
              <w:rPr>
                <w:rFonts w:hint="eastAsia"/>
                <w:lang w:val="en-US" w:eastAsia="zh-CN"/>
              </w:rPr>
              <w:t>活动，验证的目的、方法、频次等策划内容以及RPR/危害控制计划、验证活动结果分析内容，见“食品安全小组审核记录”</w:t>
            </w:r>
          </w:p>
          <w:p>
            <w:pPr>
              <w:pStyle w:val="2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hint="eastAsia"/>
                <w:lang w:val="en-US" w:eastAsia="zh-CN"/>
              </w:rPr>
              <w:t>本部门主要负责OPRP 点：（主要是大米）供方资质以及产品合格证明文件的验证，详见Q8.6/F8.9.4.2条款审核记录。</w:t>
            </w:r>
          </w:p>
        </w:tc>
        <w:tc>
          <w:tcPr>
            <w:tcW w:w="159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60" w:type="dxa"/>
            <w:gridSpan w:val="2"/>
            <w:vMerge w:val="restart"/>
          </w:tcPr>
          <w:p>
            <w:pPr>
              <w:spacing w:line="44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运行控制策划</w:t>
            </w:r>
          </w:p>
        </w:tc>
        <w:tc>
          <w:tcPr>
            <w:tcW w:w="960" w:type="dxa"/>
            <w:gridSpan w:val="2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</w:t>
            </w: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2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环境和职业健康安全运行控制：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制定了《运行控制程序》，对识别出环境因素和危险源的运行控制作出了规定，除执行公司的程序文件外，还执行公司的相关管理制度，基本符合要求。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固废：查见办公区检验现场无固体废弃物乱弃情况，设有垃圾回收桶，分为可回收和不可回收。办公危废交由</w:t>
            </w:r>
            <w:r>
              <w:rPr>
                <w:rFonts w:hint="eastAsia"/>
                <w:szCs w:val="21"/>
                <w:lang w:eastAsia="zh-CN"/>
              </w:rPr>
              <w:t>综合办</w:t>
            </w:r>
            <w:r>
              <w:rPr>
                <w:rFonts w:hint="eastAsia"/>
                <w:szCs w:val="21"/>
              </w:rPr>
              <w:t>处置。检验发现的不合格品放置在规定的区域，根据情况交由</w:t>
            </w:r>
            <w:r>
              <w:rPr>
                <w:rFonts w:hint="eastAsia"/>
                <w:szCs w:val="21"/>
                <w:lang w:val="en-US" w:eastAsia="zh-CN"/>
              </w:rPr>
              <w:t>配送部，由冯金昌样机散户统一收购喂鸡，签订有不合格品处置协议，体系建立以来暂无不合格品产生。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噪声：办公活动和检验活动噪声影响不明显；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火灾：现场查见各电气设备及用电设备和线路均处于良好状态，消防设施布局合理、查看各消防设施亦处于良好状态，均在有效期内。现场未见火灾及爆炸隐患。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触电：办公、试验现场的设施，经现场查看状态良好，未见触电安全隐患。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日常的环境安全检查由</w:t>
            </w:r>
            <w:r>
              <w:rPr>
                <w:rFonts w:hint="eastAsia"/>
                <w:szCs w:val="21"/>
                <w:lang w:eastAsia="zh-CN"/>
              </w:rPr>
              <w:t>综合办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检查情况详见综合办审核记录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tabs>
                <w:tab w:val="left" w:pos="234"/>
              </w:tabs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gridSpan w:val="2"/>
            <w:vMerge w:val="continue"/>
          </w:tcPr>
          <w:p>
            <w:pPr>
              <w:spacing w:line="440" w:lineRule="exact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ind w:firstLine="8" w:firstLineChars="4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262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</w:tcPr>
          <w:p>
            <w:pPr>
              <w:tabs>
                <w:tab w:val="left" w:pos="234"/>
              </w:tabs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160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  <w:gridSpan w:val="2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公司制定了《应急准备和响应管理程序》，基本符合要求。按程序文件规定对公司紧急情况进行了识别，编制了预案，公司编制的应急预案包括：火灾、反恐</w:t>
            </w:r>
            <w:r>
              <w:rPr>
                <w:rFonts w:ascii="宋体" w:hAnsi="宋体"/>
                <w:szCs w:val="21"/>
              </w:rPr>
              <w:t>演练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触电、中暑、配送应急预案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本部门未组织应急演练，参加公司组织的应急演练，如下：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403"/>
              <w:gridCol w:w="2270"/>
              <w:gridCol w:w="24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270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434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u w:val="none"/>
                    </w:rPr>
                  </w:pPr>
                  <w:r>
                    <w:rPr>
                      <w:rFonts w:hint="eastAsia"/>
                      <w:szCs w:val="22"/>
                      <w:u w:val="none"/>
                    </w:rPr>
                    <w:t>应急预案</w:t>
                  </w:r>
                </w:p>
                <w:p>
                  <w:r>
                    <w:rPr>
                      <w:rFonts w:hint="eastAsia"/>
                      <w:szCs w:val="22"/>
                      <w:u w:val="none"/>
                    </w:rPr>
                    <w:t>202</w:t>
                  </w:r>
                  <w:r>
                    <w:rPr>
                      <w:rFonts w:hint="eastAsia"/>
                      <w:szCs w:val="22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u w:val="none"/>
                    </w:rPr>
                    <w:t>年</w:t>
                  </w:r>
                  <w:r>
                    <w:rPr>
                      <w:rFonts w:hint="eastAsia"/>
                      <w:szCs w:val="22"/>
                      <w:u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  <w:u w:val="none"/>
                    </w:rPr>
                    <w:t>月</w:t>
                  </w:r>
                  <w:r>
                    <w:rPr>
                      <w:rFonts w:hint="eastAsia"/>
                      <w:szCs w:val="22"/>
                      <w:u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  <w:u w:val="none"/>
                    </w:rPr>
                    <w:t>日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70" w:type="dxa"/>
                </w:tcPr>
                <w:p>
                  <w:r>
                    <w:rPr>
                      <w:rFonts w:hint="eastAsia"/>
                    </w:rPr>
                    <w:t>事故应急救援制度</w:t>
                  </w:r>
                </w:p>
              </w:tc>
              <w:tc>
                <w:tcPr>
                  <w:tcW w:w="243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  <w:szCs w:val="22"/>
                      <w:u w:val="none"/>
                    </w:rPr>
                    <w:t>应急预案</w:t>
                  </w:r>
                </w:p>
              </w:tc>
              <w:tc>
                <w:tcPr>
                  <w:tcW w:w="240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70" w:type="dxa"/>
                </w:tcPr>
                <w:p>
                  <w:r>
                    <w:rPr>
                      <w:rFonts w:hint="eastAsia"/>
                    </w:rPr>
                    <w:t>触电事故应急预案</w:t>
                  </w:r>
                </w:p>
              </w:tc>
              <w:tc>
                <w:tcPr>
                  <w:tcW w:w="243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应急演练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u w:val="none"/>
                      <w:lang w:val="en-US" w:eastAsia="zh-CN"/>
                    </w:rPr>
                    <w:t>2021-04</w:t>
                  </w:r>
                </w:p>
              </w:tc>
              <w:tc>
                <w:tcPr>
                  <w:tcW w:w="24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消防灭火演练</w:t>
                  </w:r>
                </w:p>
              </w:tc>
              <w:tc>
                <w:tcPr>
                  <w:tcW w:w="243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</w:tbl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60" w:type="dxa"/>
            <w:gridSpan w:val="2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不合格管理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潜在不安全产品的管理</w:t>
            </w:r>
          </w:p>
        </w:tc>
        <w:tc>
          <w:tcPr>
            <w:tcW w:w="960" w:type="dxa"/>
            <w:gridSpan w:val="2"/>
            <w:vAlign w:val="center"/>
          </w:tcPr>
          <w:p>
            <w:r>
              <w:rPr>
                <w:rFonts w:hint="eastAsia"/>
              </w:rPr>
              <w:t>Q8.7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F</w:t>
            </w:r>
            <w:r>
              <w:t>8.9</w:t>
            </w:r>
          </w:p>
        </w:tc>
        <w:tc>
          <w:tcPr>
            <w:tcW w:w="10004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查公司编制了不合格控制程序，对不合格品（采购产品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最终产品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及交付后的不合格品）、潜在不安全产品的控制要求进行了规定，基本符合标准要求。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公司目前没有让步、放行不合格品的情况，也没有不合格的非预期使用。询问体系运行以来，也没有发生关键限值或行动准则超限的情况，目前暂未涉及潜在不安全产品。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现场未见交付后发现的不合格。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公司对产品的召回进行了规定，目前未发生需要召回的情况。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提供了召回演练记录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模拟召回日期：2021-01-15，召回产品批次（2020-10-09），召回原因：大米黄曲霉毒素B1超标（假设），提供有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包括召回演练的计划，召回演练实施的过程，召回演练报告，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基本符合要求。</w:t>
            </w: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绩效评价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监视和测量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数据分析和评价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3"/>
              <w:spacing w:line="360" w:lineRule="auto"/>
            </w:pPr>
            <w:r>
              <w:rPr>
                <w:rFonts w:hint="eastAsia"/>
              </w:rPr>
              <w:t>Q9.1.3</w:t>
            </w:r>
          </w:p>
          <w:p>
            <w:pPr>
              <w:pStyle w:val="3"/>
              <w:spacing w:line="360" w:lineRule="auto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/>
              </w:rPr>
              <w:t>F</w:t>
            </w:r>
            <w:r>
              <w:t>9.1.2</w:t>
            </w:r>
          </w:p>
        </w:tc>
        <w:tc>
          <w:tcPr>
            <w:tcW w:w="10004" w:type="dxa"/>
            <w:gridSpan w:val="5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查见分析和评价报表，报表时间包括</w:t>
            </w:r>
            <w:r>
              <w:rPr>
                <w:rFonts w:hint="eastAsia" w:ascii="宋体" w:hAnsi="宋体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1年度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-5月，目标完成情况统计包</w:t>
            </w:r>
            <w:r>
              <w:rPr>
                <w:rFonts w:hint="eastAsia" w:ascii="宋体" w:hAnsi="宋体" w:cs="宋体"/>
                <w:kern w:val="0"/>
                <w:szCs w:val="21"/>
              </w:rPr>
              <w:t>括顾客投</w:t>
            </w:r>
            <w:r>
              <w:rPr>
                <w:rFonts w:ascii="宋体" w:hAnsi="宋体" w:cs="宋体"/>
                <w:kern w:val="0"/>
                <w:szCs w:val="21"/>
              </w:rPr>
              <w:t>诉处理率</w:t>
            </w:r>
            <w:r>
              <w:rPr>
                <w:rFonts w:hint="eastAsia" w:ascii="宋体" w:hAnsi="宋体" w:cs="宋体"/>
                <w:kern w:val="0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</w:rPr>
              <w:t>相关方需求和期望识别评价表、</w:t>
            </w:r>
            <w:r>
              <w:rPr>
                <w:rFonts w:hint="eastAsia" w:ascii="宋体" w:hAnsi="宋体" w:cs="宋体"/>
                <w:kern w:val="0"/>
                <w:szCs w:val="21"/>
              </w:rPr>
              <w:t>风险和机遇识别防控表等。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根据以上统计数据，包括对危害控制计划、前提方案、培训管理、体系运行等过程提供了确认和验证的证据，并提供了验证结果分析报告，同时进行了简单的统计分析，结论：根据以上数据分析与评价，说明公司管理体系运行是正常的、有效的、适宜的；并提出了改进建议，能提交管理评审，控制利用基本符合。</w:t>
            </w: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不合格和纠正措施</w:t>
            </w:r>
          </w:p>
        </w:tc>
        <w:tc>
          <w:tcPr>
            <w:tcW w:w="960" w:type="dxa"/>
            <w:gridSpan w:val="2"/>
          </w:tcPr>
          <w:p>
            <w:pPr>
              <w:pStyle w:val="3"/>
              <w:spacing w:line="360" w:lineRule="auto"/>
            </w:pPr>
            <w:r>
              <w:rPr>
                <w:rFonts w:hint="eastAsia" w:hAnsi="宋体" w:cs="宋体"/>
                <w:kern w:val="0"/>
                <w:szCs w:val="21"/>
              </w:rPr>
              <w:t>QE</w:t>
            </w:r>
            <w:r>
              <w:rPr>
                <w:rFonts w:hAnsi="宋体" w:cs="宋体"/>
                <w:kern w:val="0"/>
                <w:szCs w:val="21"/>
              </w:rPr>
              <w:t>O</w:t>
            </w:r>
            <w:r>
              <w:rPr>
                <w:rFonts w:hint="eastAsia" w:hAnsi="宋体" w:cs="宋体"/>
                <w:kern w:val="0"/>
                <w:szCs w:val="21"/>
              </w:rPr>
              <w:t>10.2</w:t>
            </w:r>
          </w:p>
        </w:tc>
        <w:tc>
          <w:tcPr>
            <w:tcW w:w="10004" w:type="dxa"/>
            <w:gridSpan w:val="5"/>
          </w:tcPr>
          <w:p>
            <w:pPr>
              <w:spacing w:line="360" w:lineRule="auto"/>
              <w:ind w:left="-2" w:leftChars="-2" w:hanging="2" w:hangingChars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产品不合格处置情况见8.7记录；针对不合格制定了纠正措施。体系运行以来未发生产品批量不合格情况，也未发生产品交付后顾客的重大投诉情况。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另对管理体系运行情况检查和日常安全检查中发现的问题进行纠正；提供了不符合、纠正与预防措施报告，经查，体系运行以来未发生重大环境污染和安全事故。</w:t>
            </w:r>
          </w:p>
        </w:tc>
        <w:tc>
          <w:tcPr>
            <w:tcW w:w="158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 xml:space="preserve">说明：不符合标注N 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F3905"/>
    <w:multiLevelType w:val="multilevel"/>
    <w:tmpl w:val="6FCF3905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024AF"/>
    <w:rsid w:val="00005857"/>
    <w:rsid w:val="00006D16"/>
    <w:rsid w:val="00010E0F"/>
    <w:rsid w:val="00010F6E"/>
    <w:rsid w:val="000135C1"/>
    <w:rsid w:val="0001713F"/>
    <w:rsid w:val="0002173F"/>
    <w:rsid w:val="00022295"/>
    <w:rsid w:val="000358FD"/>
    <w:rsid w:val="00037060"/>
    <w:rsid w:val="0003764A"/>
    <w:rsid w:val="00041AAB"/>
    <w:rsid w:val="000433FF"/>
    <w:rsid w:val="00046821"/>
    <w:rsid w:val="00051564"/>
    <w:rsid w:val="000541D9"/>
    <w:rsid w:val="0005537F"/>
    <w:rsid w:val="0005600E"/>
    <w:rsid w:val="000600B1"/>
    <w:rsid w:val="0006613B"/>
    <w:rsid w:val="00070F88"/>
    <w:rsid w:val="0007643F"/>
    <w:rsid w:val="000813D1"/>
    <w:rsid w:val="00081441"/>
    <w:rsid w:val="00081614"/>
    <w:rsid w:val="00085D09"/>
    <w:rsid w:val="00090313"/>
    <w:rsid w:val="0009343C"/>
    <w:rsid w:val="0009605B"/>
    <w:rsid w:val="000B4CC7"/>
    <w:rsid w:val="000B7091"/>
    <w:rsid w:val="000B7900"/>
    <w:rsid w:val="000C174E"/>
    <w:rsid w:val="000D2102"/>
    <w:rsid w:val="000D2FB4"/>
    <w:rsid w:val="000D7C9F"/>
    <w:rsid w:val="000E0596"/>
    <w:rsid w:val="000E56A7"/>
    <w:rsid w:val="000F00DD"/>
    <w:rsid w:val="000F3759"/>
    <w:rsid w:val="000F5F2E"/>
    <w:rsid w:val="001002C2"/>
    <w:rsid w:val="001014E2"/>
    <w:rsid w:val="00102D43"/>
    <w:rsid w:val="0010312B"/>
    <w:rsid w:val="00106BF6"/>
    <w:rsid w:val="00115D24"/>
    <w:rsid w:val="00117E25"/>
    <w:rsid w:val="00124ED1"/>
    <w:rsid w:val="00125BFB"/>
    <w:rsid w:val="0012664F"/>
    <w:rsid w:val="00134904"/>
    <w:rsid w:val="00144031"/>
    <w:rsid w:val="00146364"/>
    <w:rsid w:val="001514E2"/>
    <w:rsid w:val="0015235B"/>
    <w:rsid w:val="001523D1"/>
    <w:rsid w:val="00156FF1"/>
    <w:rsid w:val="001641FF"/>
    <w:rsid w:val="0016540B"/>
    <w:rsid w:val="00171967"/>
    <w:rsid w:val="001749ED"/>
    <w:rsid w:val="001A5F69"/>
    <w:rsid w:val="001B05B4"/>
    <w:rsid w:val="001B0DBB"/>
    <w:rsid w:val="001B13A7"/>
    <w:rsid w:val="001B518D"/>
    <w:rsid w:val="001C0236"/>
    <w:rsid w:val="001C5463"/>
    <w:rsid w:val="001C76A6"/>
    <w:rsid w:val="001D1350"/>
    <w:rsid w:val="001D25B0"/>
    <w:rsid w:val="001D429F"/>
    <w:rsid w:val="001D5840"/>
    <w:rsid w:val="001D78A7"/>
    <w:rsid w:val="001E330C"/>
    <w:rsid w:val="001E7F79"/>
    <w:rsid w:val="00201627"/>
    <w:rsid w:val="00205D7C"/>
    <w:rsid w:val="0020740E"/>
    <w:rsid w:val="002103BA"/>
    <w:rsid w:val="002139C3"/>
    <w:rsid w:val="00225EA8"/>
    <w:rsid w:val="002263B0"/>
    <w:rsid w:val="0022716D"/>
    <w:rsid w:val="00236163"/>
    <w:rsid w:val="0024352F"/>
    <w:rsid w:val="00244424"/>
    <w:rsid w:val="00244658"/>
    <w:rsid w:val="002474F2"/>
    <w:rsid w:val="00252417"/>
    <w:rsid w:val="002533D8"/>
    <w:rsid w:val="00257301"/>
    <w:rsid w:val="00261748"/>
    <w:rsid w:val="002679B4"/>
    <w:rsid w:val="00270B17"/>
    <w:rsid w:val="00275A31"/>
    <w:rsid w:val="0027749F"/>
    <w:rsid w:val="00280315"/>
    <w:rsid w:val="00290D90"/>
    <w:rsid w:val="00292BE5"/>
    <w:rsid w:val="00292C61"/>
    <w:rsid w:val="00292D89"/>
    <w:rsid w:val="0029355D"/>
    <w:rsid w:val="0029416E"/>
    <w:rsid w:val="002968C6"/>
    <w:rsid w:val="00297885"/>
    <w:rsid w:val="002A55A4"/>
    <w:rsid w:val="002A72EA"/>
    <w:rsid w:val="002B30E9"/>
    <w:rsid w:val="002B32EF"/>
    <w:rsid w:val="002B7DFD"/>
    <w:rsid w:val="002C3087"/>
    <w:rsid w:val="002C5A63"/>
    <w:rsid w:val="002C68BB"/>
    <w:rsid w:val="002C7EA0"/>
    <w:rsid w:val="002D02B8"/>
    <w:rsid w:val="002D1060"/>
    <w:rsid w:val="002D3FAC"/>
    <w:rsid w:val="002D52EA"/>
    <w:rsid w:val="002D59E0"/>
    <w:rsid w:val="002D5D5F"/>
    <w:rsid w:val="002E026F"/>
    <w:rsid w:val="002E1795"/>
    <w:rsid w:val="002E262F"/>
    <w:rsid w:val="002E2B9A"/>
    <w:rsid w:val="002E31EC"/>
    <w:rsid w:val="002E68BE"/>
    <w:rsid w:val="002F6D29"/>
    <w:rsid w:val="002F73FC"/>
    <w:rsid w:val="00306708"/>
    <w:rsid w:val="003074F5"/>
    <w:rsid w:val="003101DE"/>
    <w:rsid w:val="00311B3F"/>
    <w:rsid w:val="00312F5A"/>
    <w:rsid w:val="00313387"/>
    <w:rsid w:val="00314094"/>
    <w:rsid w:val="00317C85"/>
    <w:rsid w:val="0032076A"/>
    <w:rsid w:val="00331F67"/>
    <w:rsid w:val="003363EC"/>
    <w:rsid w:val="0033661A"/>
    <w:rsid w:val="00337B0F"/>
    <w:rsid w:val="003430F2"/>
    <w:rsid w:val="0034541A"/>
    <w:rsid w:val="00345765"/>
    <w:rsid w:val="003459BA"/>
    <w:rsid w:val="0035174A"/>
    <w:rsid w:val="0035217C"/>
    <w:rsid w:val="003566B4"/>
    <w:rsid w:val="00356B4C"/>
    <w:rsid w:val="003614D6"/>
    <w:rsid w:val="0036618B"/>
    <w:rsid w:val="00370A84"/>
    <w:rsid w:val="00375BE5"/>
    <w:rsid w:val="0037631E"/>
    <w:rsid w:val="00383F30"/>
    <w:rsid w:val="0038697C"/>
    <w:rsid w:val="003870EE"/>
    <w:rsid w:val="00390207"/>
    <w:rsid w:val="00390214"/>
    <w:rsid w:val="00394750"/>
    <w:rsid w:val="003A0F29"/>
    <w:rsid w:val="003C277E"/>
    <w:rsid w:val="003C7AE3"/>
    <w:rsid w:val="003D0EC1"/>
    <w:rsid w:val="003D3A17"/>
    <w:rsid w:val="003D6E6F"/>
    <w:rsid w:val="003E73A8"/>
    <w:rsid w:val="003E742E"/>
    <w:rsid w:val="004050B6"/>
    <w:rsid w:val="00410F32"/>
    <w:rsid w:val="004166E5"/>
    <w:rsid w:val="00424546"/>
    <w:rsid w:val="00434726"/>
    <w:rsid w:val="00444C1A"/>
    <w:rsid w:val="0045163F"/>
    <w:rsid w:val="004530EB"/>
    <w:rsid w:val="0045550A"/>
    <w:rsid w:val="004560AF"/>
    <w:rsid w:val="004624B8"/>
    <w:rsid w:val="00462973"/>
    <w:rsid w:val="00473104"/>
    <w:rsid w:val="0047364C"/>
    <w:rsid w:val="00473B4B"/>
    <w:rsid w:val="004741C3"/>
    <w:rsid w:val="00477697"/>
    <w:rsid w:val="0048298B"/>
    <w:rsid w:val="00483C6D"/>
    <w:rsid w:val="0048497F"/>
    <w:rsid w:val="00485090"/>
    <w:rsid w:val="00485ACA"/>
    <w:rsid w:val="0049762A"/>
    <w:rsid w:val="00497EC7"/>
    <w:rsid w:val="004A6115"/>
    <w:rsid w:val="004B16A6"/>
    <w:rsid w:val="004B3DF7"/>
    <w:rsid w:val="004B5CB8"/>
    <w:rsid w:val="004B78A7"/>
    <w:rsid w:val="004C1F50"/>
    <w:rsid w:val="004C25A1"/>
    <w:rsid w:val="004D06C3"/>
    <w:rsid w:val="004D1E37"/>
    <w:rsid w:val="004D35A8"/>
    <w:rsid w:val="004D3AA0"/>
    <w:rsid w:val="004D7267"/>
    <w:rsid w:val="004E3C3E"/>
    <w:rsid w:val="004E72FA"/>
    <w:rsid w:val="004F0B2F"/>
    <w:rsid w:val="004F2269"/>
    <w:rsid w:val="004F2C93"/>
    <w:rsid w:val="004F6BF7"/>
    <w:rsid w:val="004F7D2B"/>
    <w:rsid w:val="00502082"/>
    <w:rsid w:val="00505A3C"/>
    <w:rsid w:val="00514B8C"/>
    <w:rsid w:val="005177B0"/>
    <w:rsid w:val="00530577"/>
    <w:rsid w:val="0054259D"/>
    <w:rsid w:val="005479A5"/>
    <w:rsid w:val="00547E8D"/>
    <w:rsid w:val="00551B33"/>
    <w:rsid w:val="005616C2"/>
    <w:rsid w:val="005637DF"/>
    <w:rsid w:val="00566164"/>
    <w:rsid w:val="00567898"/>
    <w:rsid w:val="00573F14"/>
    <w:rsid w:val="005755B2"/>
    <w:rsid w:val="00581B5F"/>
    <w:rsid w:val="00585907"/>
    <w:rsid w:val="005859D8"/>
    <w:rsid w:val="00586362"/>
    <w:rsid w:val="0059346A"/>
    <w:rsid w:val="00593760"/>
    <w:rsid w:val="00595697"/>
    <w:rsid w:val="005A059B"/>
    <w:rsid w:val="005A0BC8"/>
    <w:rsid w:val="005A1DCB"/>
    <w:rsid w:val="005A2E39"/>
    <w:rsid w:val="005B19AB"/>
    <w:rsid w:val="005B386B"/>
    <w:rsid w:val="005B48C3"/>
    <w:rsid w:val="005B6789"/>
    <w:rsid w:val="005B6DAB"/>
    <w:rsid w:val="005C135A"/>
    <w:rsid w:val="005C2904"/>
    <w:rsid w:val="005C3B46"/>
    <w:rsid w:val="005C6A4E"/>
    <w:rsid w:val="005D2023"/>
    <w:rsid w:val="005E185E"/>
    <w:rsid w:val="005E3D29"/>
    <w:rsid w:val="005F2FAD"/>
    <w:rsid w:val="005F7EB6"/>
    <w:rsid w:val="00602E85"/>
    <w:rsid w:val="006039D8"/>
    <w:rsid w:val="00612353"/>
    <w:rsid w:val="006240C3"/>
    <w:rsid w:val="006240CC"/>
    <w:rsid w:val="00626C03"/>
    <w:rsid w:val="00631952"/>
    <w:rsid w:val="00633B64"/>
    <w:rsid w:val="00635B2E"/>
    <w:rsid w:val="0064071B"/>
    <w:rsid w:val="006447FC"/>
    <w:rsid w:val="00644E74"/>
    <w:rsid w:val="006524BA"/>
    <w:rsid w:val="00654288"/>
    <w:rsid w:val="006553BA"/>
    <w:rsid w:val="0066194F"/>
    <w:rsid w:val="00661B32"/>
    <w:rsid w:val="0066293D"/>
    <w:rsid w:val="0066736A"/>
    <w:rsid w:val="00670A9F"/>
    <w:rsid w:val="00680CB4"/>
    <w:rsid w:val="006855CE"/>
    <w:rsid w:val="00685C1E"/>
    <w:rsid w:val="00691400"/>
    <w:rsid w:val="0069473E"/>
    <w:rsid w:val="006973DD"/>
    <w:rsid w:val="006A49A5"/>
    <w:rsid w:val="006A5DD6"/>
    <w:rsid w:val="006A6C20"/>
    <w:rsid w:val="006B0E95"/>
    <w:rsid w:val="006B5582"/>
    <w:rsid w:val="006B7CF5"/>
    <w:rsid w:val="006C06A9"/>
    <w:rsid w:val="006C30FF"/>
    <w:rsid w:val="006C3E7A"/>
    <w:rsid w:val="006C4C81"/>
    <w:rsid w:val="006C5E35"/>
    <w:rsid w:val="006C6301"/>
    <w:rsid w:val="006C6954"/>
    <w:rsid w:val="006D02D9"/>
    <w:rsid w:val="006D0705"/>
    <w:rsid w:val="006D23A2"/>
    <w:rsid w:val="006E3E83"/>
    <w:rsid w:val="006E6596"/>
    <w:rsid w:val="006E777F"/>
    <w:rsid w:val="006E77BC"/>
    <w:rsid w:val="006E7F5B"/>
    <w:rsid w:val="006F20B1"/>
    <w:rsid w:val="006F20B2"/>
    <w:rsid w:val="00701D64"/>
    <w:rsid w:val="00701F2A"/>
    <w:rsid w:val="00702FB9"/>
    <w:rsid w:val="00706AC3"/>
    <w:rsid w:val="00706CF7"/>
    <w:rsid w:val="0071209A"/>
    <w:rsid w:val="00713E5E"/>
    <w:rsid w:val="00716521"/>
    <w:rsid w:val="007204D3"/>
    <w:rsid w:val="00720656"/>
    <w:rsid w:val="0072190C"/>
    <w:rsid w:val="007228F7"/>
    <w:rsid w:val="00722C08"/>
    <w:rsid w:val="00723622"/>
    <w:rsid w:val="0072362F"/>
    <w:rsid w:val="00725BF8"/>
    <w:rsid w:val="00727526"/>
    <w:rsid w:val="007300C2"/>
    <w:rsid w:val="00734690"/>
    <w:rsid w:val="00734E69"/>
    <w:rsid w:val="00740588"/>
    <w:rsid w:val="00744E70"/>
    <w:rsid w:val="00745425"/>
    <w:rsid w:val="007461F9"/>
    <w:rsid w:val="00747ACD"/>
    <w:rsid w:val="00751AFC"/>
    <w:rsid w:val="00752CB9"/>
    <w:rsid w:val="00756922"/>
    <w:rsid w:val="00760892"/>
    <w:rsid w:val="00763ADC"/>
    <w:rsid w:val="007651B2"/>
    <w:rsid w:val="00772752"/>
    <w:rsid w:val="0077375B"/>
    <w:rsid w:val="00774528"/>
    <w:rsid w:val="00774E9D"/>
    <w:rsid w:val="00775CF9"/>
    <w:rsid w:val="00775EE2"/>
    <w:rsid w:val="007801C3"/>
    <w:rsid w:val="00781AA2"/>
    <w:rsid w:val="007850E0"/>
    <w:rsid w:val="00792A5F"/>
    <w:rsid w:val="00793916"/>
    <w:rsid w:val="00797855"/>
    <w:rsid w:val="007A564F"/>
    <w:rsid w:val="007A60BD"/>
    <w:rsid w:val="007A70DB"/>
    <w:rsid w:val="007A71C3"/>
    <w:rsid w:val="007B5684"/>
    <w:rsid w:val="007C39B3"/>
    <w:rsid w:val="007C763E"/>
    <w:rsid w:val="007D287F"/>
    <w:rsid w:val="007E03CD"/>
    <w:rsid w:val="007E16E2"/>
    <w:rsid w:val="007E2608"/>
    <w:rsid w:val="007F659F"/>
    <w:rsid w:val="008001D6"/>
    <w:rsid w:val="008066C4"/>
    <w:rsid w:val="00817555"/>
    <w:rsid w:val="0082376F"/>
    <w:rsid w:val="00823E6D"/>
    <w:rsid w:val="0082457E"/>
    <w:rsid w:val="00826DA4"/>
    <w:rsid w:val="0082709A"/>
    <w:rsid w:val="0083250F"/>
    <w:rsid w:val="00833B88"/>
    <w:rsid w:val="00843CCA"/>
    <w:rsid w:val="00850673"/>
    <w:rsid w:val="008610B0"/>
    <w:rsid w:val="00861438"/>
    <w:rsid w:val="008648FD"/>
    <w:rsid w:val="00864EEE"/>
    <w:rsid w:val="008671ED"/>
    <w:rsid w:val="008700F7"/>
    <w:rsid w:val="00873D2E"/>
    <w:rsid w:val="00873D74"/>
    <w:rsid w:val="00876E1B"/>
    <w:rsid w:val="008803FA"/>
    <w:rsid w:val="00880D4E"/>
    <w:rsid w:val="00880DB0"/>
    <w:rsid w:val="0088204A"/>
    <w:rsid w:val="008859AF"/>
    <w:rsid w:val="00886F81"/>
    <w:rsid w:val="0089233B"/>
    <w:rsid w:val="00892B7D"/>
    <w:rsid w:val="00895F18"/>
    <w:rsid w:val="00896C64"/>
    <w:rsid w:val="008A19AC"/>
    <w:rsid w:val="008A444B"/>
    <w:rsid w:val="008B0593"/>
    <w:rsid w:val="008B12A3"/>
    <w:rsid w:val="008C1B8B"/>
    <w:rsid w:val="008C1B92"/>
    <w:rsid w:val="008C4AB7"/>
    <w:rsid w:val="008C62D4"/>
    <w:rsid w:val="008D008C"/>
    <w:rsid w:val="008D14E3"/>
    <w:rsid w:val="008D295D"/>
    <w:rsid w:val="008D4577"/>
    <w:rsid w:val="008E1C2F"/>
    <w:rsid w:val="008E37E0"/>
    <w:rsid w:val="008E46A1"/>
    <w:rsid w:val="008E4FC1"/>
    <w:rsid w:val="008E67AF"/>
    <w:rsid w:val="008F1592"/>
    <w:rsid w:val="008F2E8D"/>
    <w:rsid w:val="008F48B4"/>
    <w:rsid w:val="008F7264"/>
    <w:rsid w:val="009023C2"/>
    <w:rsid w:val="00902C62"/>
    <w:rsid w:val="00905DCE"/>
    <w:rsid w:val="00907C27"/>
    <w:rsid w:val="00937959"/>
    <w:rsid w:val="009424EB"/>
    <w:rsid w:val="00944A36"/>
    <w:rsid w:val="00954EA8"/>
    <w:rsid w:val="00956F01"/>
    <w:rsid w:val="00960BA2"/>
    <w:rsid w:val="00961452"/>
    <w:rsid w:val="00961B1C"/>
    <w:rsid w:val="0096597D"/>
    <w:rsid w:val="009717E4"/>
    <w:rsid w:val="009730EC"/>
    <w:rsid w:val="009756F3"/>
    <w:rsid w:val="00976940"/>
    <w:rsid w:val="009805DC"/>
    <w:rsid w:val="00981319"/>
    <w:rsid w:val="0098308F"/>
    <w:rsid w:val="009924FF"/>
    <w:rsid w:val="00993AB0"/>
    <w:rsid w:val="00994D2D"/>
    <w:rsid w:val="00995C98"/>
    <w:rsid w:val="00996790"/>
    <w:rsid w:val="00996B99"/>
    <w:rsid w:val="009A0869"/>
    <w:rsid w:val="009A264B"/>
    <w:rsid w:val="009B6C76"/>
    <w:rsid w:val="009C3AF7"/>
    <w:rsid w:val="009C40F5"/>
    <w:rsid w:val="009D0226"/>
    <w:rsid w:val="009D09F5"/>
    <w:rsid w:val="009D6269"/>
    <w:rsid w:val="009D7D7F"/>
    <w:rsid w:val="009E013F"/>
    <w:rsid w:val="009E0C6E"/>
    <w:rsid w:val="009E20D6"/>
    <w:rsid w:val="009E268D"/>
    <w:rsid w:val="009E4C1F"/>
    <w:rsid w:val="009E5797"/>
    <w:rsid w:val="009E5E36"/>
    <w:rsid w:val="009F39CE"/>
    <w:rsid w:val="009F7208"/>
    <w:rsid w:val="00A000B0"/>
    <w:rsid w:val="00A07938"/>
    <w:rsid w:val="00A131AE"/>
    <w:rsid w:val="00A14865"/>
    <w:rsid w:val="00A15534"/>
    <w:rsid w:val="00A219E3"/>
    <w:rsid w:val="00A23DED"/>
    <w:rsid w:val="00A2776F"/>
    <w:rsid w:val="00A27977"/>
    <w:rsid w:val="00A32319"/>
    <w:rsid w:val="00A33A07"/>
    <w:rsid w:val="00A37872"/>
    <w:rsid w:val="00A42C27"/>
    <w:rsid w:val="00A4324B"/>
    <w:rsid w:val="00A43462"/>
    <w:rsid w:val="00A51924"/>
    <w:rsid w:val="00A54F57"/>
    <w:rsid w:val="00A561F1"/>
    <w:rsid w:val="00A564E7"/>
    <w:rsid w:val="00A60286"/>
    <w:rsid w:val="00A62D1F"/>
    <w:rsid w:val="00A718CF"/>
    <w:rsid w:val="00A746F5"/>
    <w:rsid w:val="00A83A41"/>
    <w:rsid w:val="00A906BA"/>
    <w:rsid w:val="00A9157A"/>
    <w:rsid w:val="00A93A07"/>
    <w:rsid w:val="00A93C14"/>
    <w:rsid w:val="00A947A2"/>
    <w:rsid w:val="00A97663"/>
    <w:rsid w:val="00AA7D51"/>
    <w:rsid w:val="00AA7FF6"/>
    <w:rsid w:val="00AB2623"/>
    <w:rsid w:val="00AB307B"/>
    <w:rsid w:val="00AB5481"/>
    <w:rsid w:val="00AC3328"/>
    <w:rsid w:val="00AC50C6"/>
    <w:rsid w:val="00AD02BC"/>
    <w:rsid w:val="00AD2C2D"/>
    <w:rsid w:val="00AD5351"/>
    <w:rsid w:val="00AE1011"/>
    <w:rsid w:val="00AE5CD2"/>
    <w:rsid w:val="00AE74C1"/>
    <w:rsid w:val="00AF29DB"/>
    <w:rsid w:val="00AF597D"/>
    <w:rsid w:val="00AF5C17"/>
    <w:rsid w:val="00B074EE"/>
    <w:rsid w:val="00B1633F"/>
    <w:rsid w:val="00B21394"/>
    <w:rsid w:val="00B262B4"/>
    <w:rsid w:val="00B32A9E"/>
    <w:rsid w:val="00B32B47"/>
    <w:rsid w:val="00B33409"/>
    <w:rsid w:val="00B3396D"/>
    <w:rsid w:val="00B34DC2"/>
    <w:rsid w:val="00B40E65"/>
    <w:rsid w:val="00B410C6"/>
    <w:rsid w:val="00B45A0C"/>
    <w:rsid w:val="00B57E67"/>
    <w:rsid w:val="00B65F3F"/>
    <w:rsid w:val="00B66844"/>
    <w:rsid w:val="00B70837"/>
    <w:rsid w:val="00B73182"/>
    <w:rsid w:val="00B753CA"/>
    <w:rsid w:val="00B75A8C"/>
    <w:rsid w:val="00B76874"/>
    <w:rsid w:val="00B773F9"/>
    <w:rsid w:val="00B81E1B"/>
    <w:rsid w:val="00B86ADE"/>
    <w:rsid w:val="00B91F2F"/>
    <w:rsid w:val="00B97576"/>
    <w:rsid w:val="00BA2D05"/>
    <w:rsid w:val="00BA31C8"/>
    <w:rsid w:val="00BB19B1"/>
    <w:rsid w:val="00BB2638"/>
    <w:rsid w:val="00BB6546"/>
    <w:rsid w:val="00BC0306"/>
    <w:rsid w:val="00BC1F44"/>
    <w:rsid w:val="00BC2982"/>
    <w:rsid w:val="00BC321A"/>
    <w:rsid w:val="00BC63BD"/>
    <w:rsid w:val="00BD1163"/>
    <w:rsid w:val="00BD51A0"/>
    <w:rsid w:val="00BD5713"/>
    <w:rsid w:val="00BE56D8"/>
    <w:rsid w:val="00BF1CB2"/>
    <w:rsid w:val="00BF26F5"/>
    <w:rsid w:val="00BF366A"/>
    <w:rsid w:val="00BF436D"/>
    <w:rsid w:val="00C00893"/>
    <w:rsid w:val="00C047A1"/>
    <w:rsid w:val="00C07042"/>
    <w:rsid w:val="00C10D8F"/>
    <w:rsid w:val="00C12A4B"/>
    <w:rsid w:val="00C216AD"/>
    <w:rsid w:val="00C31425"/>
    <w:rsid w:val="00C33952"/>
    <w:rsid w:val="00C33C7D"/>
    <w:rsid w:val="00C3404D"/>
    <w:rsid w:val="00C35E3D"/>
    <w:rsid w:val="00C4011E"/>
    <w:rsid w:val="00C417D5"/>
    <w:rsid w:val="00C41C2A"/>
    <w:rsid w:val="00C5395B"/>
    <w:rsid w:val="00C544E3"/>
    <w:rsid w:val="00C776C2"/>
    <w:rsid w:val="00C77BEB"/>
    <w:rsid w:val="00C81DCB"/>
    <w:rsid w:val="00C82C31"/>
    <w:rsid w:val="00C858F4"/>
    <w:rsid w:val="00C87324"/>
    <w:rsid w:val="00C87BF9"/>
    <w:rsid w:val="00C87C14"/>
    <w:rsid w:val="00C90558"/>
    <w:rsid w:val="00C907C6"/>
    <w:rsid w:val="00CA1338"/>
    <w:rsid w:val="00CA1971"/>
    <w:rsid w:val="00CA4E72"/>
    <w:rsid w:val="00CB048F"/>
    <w:rsid w:val="00CB3986"/>
    <w:rsid w:val="00CB3DD2"/>
    <w:rsid w:val="00CC0154"/>
    <w:rsid w:val="00CC1EA0"/>
    <w:rsid w:val="00CC7ACE"/>
    <w:rsid w:val="00CC7B7E"/>
    <w:rsid w:val="00CD0E30"/>
    <w:rsid w:val="00CE10AE"/>
    <w:rsid w:val="00CE1898"/>
    <w:rsid w:val="00CE40D8"/>
    <w:rsid w:val="00CE4298"/>
    <w:rsid w:val="00CE4D83"/>
    <w:rsid w:val="00CF50A8"/>
    <w:rsid w:val="00D008E3"/>
    <w:rsid w:val="00D00B85"/>
    <w:rsid w:val="00D01F60"/>
    <w:rsid w:val="00D121D2"/>
    <w:rsid w:val="00D12BB1"/>
    <w:rsid w:val="00D176CF"/>
    <w:rsid w:val="00D20FD5"/>
    <w:rsid w:val="00D26C91"/>
    <w:rsid w:val="00D27A6C"/>
    <w:rsid w:val="00D30876"/>
    <w:rsid w:val="00D3107E"/>
    <w:rsid w:val="00D31F39"/>
    <w:rsid w:val="00D33199"/>
    <w:rsid w:val="00D33A55"/>
    <w:rsid w:val="00D33CB3"/>
    <w:rsid w:val="00D35725"/>
    <w:rsid w:val="00D41C59"/>
    <w:rsid w:val="00D44021"/>
    <w:rsid w:val="00D44FCF"/>
    <w:rsid w:val="00D45315"/>
    <w:rsid w:val="00D515EF"/>
    <w:rsid w:val="00D57BF1"/>
    <w:rsid w:val="00D6059E"/>
    <w:rsid w:val="00D66261"/>
    <w:rsid w:val="00D67DA6"/>
    <w:rsid w:val="00D71BB0"/>
    <w:rsid w:val="00D77189"/>
    <w:rsid w:val="00D83873"/>
    <w:rsid w:val="00D84322"/>
    <w:rsid w:val="00D84C8D"/>
    <w:rsid w:val="00D85D5E"/>
    <w:rsid w:val="00D93214"/>
    <w:rsid w:val="00D94BA9"/>
    <w:rsid w:val="00D94E42"/>
    <w:rsid w:val="00D94F35"/>
    <w:rsid w:val="00D95357"/>
    <w:rsid w:val="00DA0419"/>
    <w:rsid w:val="00DA2EAF"/>
    <w:rsid w:val="00DA362B"/>
    <w:rsid w:val="00DA63D7"/>
    <w:rsid w:val="00DA7254"/>
    <w:rsid w:val="00DB094A"/>
    <w:rsid w:val="00DB2F84"/>
    <w:rsid w:val="00DB3481"/>
    <w:rsid w:val="00DC1694"/>
    <w:rsid w:val="00DC311A"/>
    <w:rsid w:val="00DC54BE"/>
    <w:rsid w:val="00DC71FF"/>
    <w:rsid w:val="00DD45AE"/>
    <w:rsid w:val="00DD4B80"/>
    <w:rsid w:val="00DD62EE"/>
    <w:rsid w:val="00DD7155"/>
    <w:rsid w:val="00DE6023"/>
    <w:rsid w:val="00DE722E"/>
    <w:rsid w:val="00DF07FD"/>
    <w:rsid w:val="00DF3444"/>
    <w:rsid w:val="00DF3771"/>
    <w:rsid w:val="00DF490A"/>
    <w:rsid w:val="00DF6297"/>
    <w:rsid w:val="00E0327F"/>
    <w:rsid w:val="00E03B8B"/>
    <w:rsid w:val="00E13AA5"/>
    <w:rsid w:val="00E164A5"/>
    <w:rsid w:val="00E21BA8"/>
    <w:rsid w:val="00E22542"/>
    <w:rsid w:val="00E23A59"/>
    <w:rsid w:val="00E2618D"/>
    <w:rsid w:val="00E26E64"/>
    <w:rsid w:val="00E33D39"/>
    <w:rsid w:val="00E340AC"/>
    <w:rsid w:val="00E408DF"/>
    <w:rsid w:val="00E408E2"/>
    <w:rsid w:val="00E40D33"/>
    <w:rsid w:val="00E434EA"/>
    <w:rsid w:val="00E55E01"/>
    <w:rsid w:val="00E66663"/>
    <w:rsid w:val="00E6690F"/>
    <w:rsid w:val="00E67C3E"/>
    <w:rsid w:val="00E77234"/>
    <w:rsid w:val="00E93925"/>
    <w:rsid w:val="00E93A10"/>
    <w:rsid w:val="00E93F2A"/>
    <w:rsid w:val="00E95462"/>
    <w:rsid w:val="00E95C81"/>
    <w:rsid w:val="00E96E54"/>
    <w:rsid w:val="00EA2882"/>
    <w:rsid w:val="00EA6B72"/>
    <w:rsid w:val="00EB255B"/>
    <w:rsid w:val="00EC0063"/>
    <w:rsid w:val="00ED0728"/>
    <w:rsid w:val="00ED098B"/>
    <w:rsid w:val="00ED1139"/>
    <w:rsid w:val="00ED5A60"/>
    <w:rsid w:val="00ED6348"/>
    <w:rsid w:val="00ED74AC"/>
    <w:rsid w:val="00EE4BD9"/>
    <w:rsid w:val="00EF3EBB"/>
    <w:rsid w:val="00EF54FB"/>
    <w:rsid w:val="00F0606B"/>
    <w:rsid w:val="00F142BE"/>
    <w:rsid w:val="00F20C5A"/>
    <w:rsid w:val="00F2340A"/>
    <w:rsid w:val="00F23BA5"/>
    <w:rsid w:val="00F31E04"/>
    <w:rsid w:val="00F32739"/>
    <w:rsid w:val="00F347FB"/>
    <w:rsid w:val="00F35D71"/>
    <w:rsid w:val="00F36FD8"/>
    <w:rsid w:val="00F378DE"/>
    <w:rsid w:val="00F42586"/>
    <w:rsid w:val="00F536D3"/>
    <w:rsid w:val="00F55E8A"/>
    <w:rsid w:val="00F57FA2"/>
    <w:rsid w:val="00F628E6"/>
    <w:rsid w:val="00F71405"/>
    <w:rsid w:val="00F73473"/>
    <w:rsid w:val="00F744A2"/>
    <w:rsid w:val="00F80984"/>
    <w:rsid w:val="00F84095"/>
    <w:rsid w:val="00F8691B"/>
    <w:rsid w:val="00F87AB9"/>
    <w:rsid w:val="00FA38E2"/>
    <w:rsid w:val="00FB3359"/>
    <w:rsid w:val="00FC39FF"/>
    <w:rsid w:val="00FC44A3"/>
    <w:rsid w:val="00FC6F80"/>
    <w:rsid w:val="00FD40B6"/>
    <w:rsid w:val="00FD707F"/>
    <w:rsid w:val="00FD7E96"/>
    <w:rsid w:val="00FE1584"/>
    <w:rsid w:val="00FE4D28"/>
    <w:rsid w:val="00FE6F30"/>
    <w:rsid w:val="00FF0896"/>
    <w:rsid w:val="00FF61F5"/>
    <w:rsid w:val="00FF646F"/>
    <w:rsid w:val="00FF6AEF"/>
    <w:rsid w:val="02F912F2"/>
    <w:rsid w:val="031E3216"/>
    <w:rsid w:val="06587587"/>
    <w:rsid w:val="0C98633C"/>
    <w:rsid w:val="0F6E1A6B"/>
    <w:rsid w:val="10F42550"/>
    <w:rsid w:val="1E617040"/>
    <w:rsid w:val="300949E7"/>
    <w:rsid w:val="3051728B"/>
    <w:rsid w:val="387972B5"/>
    <w:rsid w:val="3C627CF1"/>
    <w:rsid w:val="3D26797A"/>
    <w:rsid w:val="43F35A95"/>
    <w:rsid w:val="46863458"/>
    <w:rsid w:val="4E451C93"/>
    <w:rsid w:val="527D30D5"/>
    <w:rsid w:val="546A1E5C"/>
    <w:rsid w:val="564C4A20"/>
    <w:rsid w:val="65D35869"/>
    <w:rsid w:val="65FD7668"/>
    <w:rsid w:val="6B757F6F"/>
    <w:rsid w:val="6EA74F34"/>
    <w:rsid w:val="77CF1FA9"/>
    <w:rsid w:val="7E065B4B"/>
    <w:rsid w:val="7F88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link w:val="18"/>
    <w:qFormat/>
    <w:uiPriority w:val="0"/>
    <w:rPr>
      <w:rFonts w:ascii="宋体" w:hAnsi="Courier New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纯文本 字符"/>
    <w:basedOn w:val="10"/>
    <w:link w:val="3"/>
    <w:qFormat/>
    <w:uiPriority w:val="0"/>
    <w:rPr>
      <w:rFonts w:ascii="宋体" w:hAnsi="Courier New" w:eastAsia="宋体" w:cs="Times New Roman"/>
      <w:kern w:val="2"/>
      <w:sz w:val="21"/>
    </w:rPr>
  </w:style>
  <w:style w:type="character" w:styleId="19">
    <w:name w:val="Placeholder Text"/>
    <w:basedOn w:val="10"/>
    <w:semiHidden/>
    <w:qFormat/>
    <w:uiPriority w:val="99"/>
    <w:rPr>
      <w:color w:val="808080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21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41A44-FC06-4EA5-946B-C95D0D003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923</Words>
  <Characters>5264</Characters>
  <Lines>43</Lines>
  <Paragraphs>12</Paragraphs>
  <TotalTime>1</TotalTime>
  <ScaleCrop>false</ScaleCrop>
  <LinksUpToDate>false</LinksUpToDate>
  <CharactersWithSpaces>6175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2021-06-07T08:17:00Z</dcterms:created>
  <dc:creator>微软用户</dc:creator>
  <cp:lastModifiedBy>肖新龙</cp:lastModifiedBy>
  <dcterms:modified xsi:type="dcterms:W3CDTF">2021-06-09T04:57:16Z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F558EA4940204C2AB020855300ED2BB4</vt:lpwstr>
  </property>
</Properties>
</file>