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建德市惠而丰食品有限公司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食品安全管理体系：初次认证第（二）阶段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