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建德澎扬贸易有限公司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ISO45001：2018,F：ISO 22000:2018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0538-2021-QEOF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2020-N0EMS-2222839</w:t>
            </w:r>
          </w:p>
          <w:p w:rsidR="009F508A">
            <w:pPr>
              <w:snapToGrid w:val="0"/>
              <w:spacing w:line="320" w:lineRule="exact"/>
              <w:ind w:left="1309"/>
              <w:rPr>
                <w:sz w:val="22"/>
                <w:szCs w:val="22"/>
                <w:highlight w:val="yellow"/>
              </w:rPr>
            </w:pPr>
            <w:r>
              <w:rPr>
                <w:sz w:val="22"/>
                <w:szCs w:val="22"/>
                <w:highlight w:val="yellow"/>
              </w:rPr>
              <w:t>2020-N0OHSMS-2222839</w:t>
            </w:r>
          </w:p>
          <w:p w:rsidR="009F508A">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2021-N1EMS-1232380</w:t>
            </w:r>
          </w:p>
          <w:p w:rsidR="009F508A">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