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30"/>
        <w:gridCol w:w="238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浙</w:t>
            </w:r>
            <w:r>
              <w:t>江敬存仁生物科技有限公司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7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浙江省杭州市淳安县王阜乡新合村（原严家中学）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7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浙江省杭州市淳安县王阜乡新合村（原严家中学）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2"/>
                <w:szCs w:val="22"/>
              </w:rPr>
              <w:t>0545-2021-H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严杰凯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15268568357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0" w:name="最高管理者"/>
            <w:bookmarkEnd w:id="0"/>
            <w:r>
              <w:t>姚洪坤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bookmarkStart w:id="1" w:name="联系人传真"/>
            <w:bookmarkEnd w:id="1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3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7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2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H：</w:t>
            </w:r>
            <w:r>
              <w:rPr>
                <w:rFonts w:hint="eastAsia"/>
                <w:lang w:val="en-US" w:eastAsia="zh-CN"/>
              </w:rPr>
              <w:t>位于</w:t>
            </w:r>
            <w:r>
              <w:t>浙江省杭州市淳安县王阜乡新合村（原严家中学）</w:t>
            </w:r>
            <w:r>
              <w:rPr>
                <w:rFonts w:hint="eastAsia"/>
                <w:lang w:val="en-US" w:eastAsia="zh-CN"/>
              </w:rPr>
              <w:t>的浙</w:t>
            </w:r>
            <w:r>
              <w:t>江敬存仁生物科技有限公司</w:t>
            </w:r>
            <w:r>
              <w:rPr>
                <w:rFonts w:hint="eastAsia"/>
                <w:lang w:val="en-US" w:eastAsia="zh-CN"/>
              </w:rPr>
              <w:t>饮料加工车间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其他饮料（饮料浓浆）</w:t>
            </w:r>
            <w:r>
              <w:rPr>
                <w:rFonts w:hint="eastAsia" w:ascii="宋体" w:hAnsi="宋体"/>
                <w:szCs w:val="21"/>
              </w:rPr>
              <w:t xml:space="preserve">的生产 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</w:rPr>
              <w:t>H</w:t>
            </w:r>
            <w:r>
              <w:t>：</w:t>
            </w:r>
            <w:bookmarkStart w:id="4" w:name="专业代码"/>
            <w:r>
              <w:rPr>
                <w:rFonts w:hint="eastAsia"/>
                <w:b/>
                <w:szCs w:val="21"/>
              </w:rPr>
              <w:t>CIV-4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20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  <w:p>
            <w:pPr>
              <w:rPr>
                <w:sz w:val="20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22000-2006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XX-2008A（CCAA</w:t>
            </w:r>
            <w:r>
              <w:rPr>
                <w:rFonts w:ascii="宋体" w:hAnsi="宋体"/>
                <w:sz w:val="20"/>
                <w:u w:val="single"/>
                <w:lang w:val="en-GB"/>
              </w:rPr>
              <w:t>00</w:t>
            </w:r>
            <w:r>
              <w:rPr>
                <w:rFonts w:hint="eastAsia" w:ascii="宋体" w:hAnsi="宋体"/>
                <w:sz w:val="20"/>
                <w:u w:val="single"/>
                <w:lang w:val="en-GB"/>
              </w:rPr>
              <w:t>XX-2014） 食品安全管理体系 XX加工企业要求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3331-2013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   年   月   日 上午至    年    月   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 月  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 日 </w:t>
            </w:r>
            <w:r>
              <w:rPr>
                <w:rFonts w:hint="eastAsia"/>
                <w:b/>
                <w:sz w:val="20"/>
                <w:lang w:val="en-US" w:eastAsia="zh-CN"/>
              </w:rPr>
              <w:t>上午</w:t>
            </w:r>
            <w:r>
              <w:rPr>
                <w:rFonts w:hint="eastAsia"/>
                <w:b/>
                <w:sz w:val="20"/>
              </w:rPr>
              <w:t>至202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年 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  月  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 xml:space="preserve"> 日 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</w:tbl>
    <w:tbl>
      <w:tblPr>
        <w:tblStyle w:val="5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8"/>
        <w:gridCol w:w="1010"/>
        <w:gridCol w:w="87"/>
        <w:gridCol w:w="622"/>
        <w:gridCol w:w="326"/>
        <w:gridCol w:w="1502"/>
        <w:gridCol w:w="440"/>
        <w:gridCol w:w="935"/>
        <w:gridCol w:w="341"/>
        <w:gridCol w:w="222"/>
        <w:gridCol w:w="762"/>
        <w:gridCol w:w="150"/>
        <w:gridCol w:w="850"/>
        <w:gridCol w:w="12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2020-N1HACCP-1232380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CIV-4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2020-N1HACCP-1222839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CIV-4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审核员2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任学礼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培训证书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剑南舂酒厂有限公司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0"/>
              </w:rPr>
              <w:t>15708225160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14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2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4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bookmarkStart w:id="5" w:name="_GoBack"/>
            <w:bookmarkEnd w:id="5"/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/>
        </w:tc>
        <w:tc>
          <w:tcPr>
            <w:tcW w:w="144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vAlign w:val="center"/>
          </w:tcPr>
          <w:p/>
        </w:tc>
        <w:tc>
          <w:tcPr>
            <w:tcW w:w="1125" w:type="dxa"/>
            <w:gridSpan w:val="3"/>
            <w:vAlign w:val="center"/>
          </w:tcPr>
          <w:p/>
        </w:tc>
        <w:tc>
          <w:tcPr>
            <w:tcW w:w="144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214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2021-06-02</w:t>
            </w:r>
          </w:p>
        </w:tc>
        <w:tc>
          <w:tcPr>
            <w:tcW w:w="15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4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4"/>
        <w:gridCol w:w="1134"/>
        <w:gridCol w:w="3402"/>
        <w:gridCol w:w="275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8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21-06-03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7:55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27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300" w:lineRule="exact"/>
              <w:jc w:val="center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8：00</w:t>
            </w:r>
          </w:p>
        </w:tc>
        <w:tc>
          <w:tcPr>
            <w:tcW w:w="1134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340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3402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认证范围、源于外部的过程、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管理承诺、</w:t>
            </w:r>
            <w:r>
              <w:rPr>
                <w:rFonts w:hint="eastAsia" w:ascii="宋体" w:hAnsi="宋体"/>
                <w:sz w:val="18"/>
                <w:szCs w:val="18"/>
              </w:rPr>
              <w:t>方针和目标、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体系策划、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组织机构和职责、内外部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沟通、资源提供、</w:t>
            </w:r>
            <w:r>
              <w:rPr>
                <w:rFonts w:hint="eastAsia" w:ascii="宋体" w:hAnsi="宋体"/>
                <w:sz w:val="18"/>
                <w:szCs w:val="18"/>
              </w:rPr>
              <w:t>管理评审、适用的法律法规、顾客反馈、产品召回、行业抽查情况、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持续改进</w:t>
            </w:r>
          </w:p>
        </w:tc>
        <w:tc>
          <w:tcPr>
            <w:tcW w:w="2752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H：</w:t>
            </w:r>
            <w:r>
              <w:rPr>
                <w:rFonts w:hint="eastAsia" w:ascii="宋体" w:hAnsi="宋体"/>
                <w:sz w:val="18"/>
                <w:szCs w:val="18"/>
              </w:rPr>
              <w:t>4.1/5.1/5.2/5.3/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5.5/6.1及GB14881相关条款内容及1.0要求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pacing w:line="280" w:lineRule="exact"/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</w:rPr>
              <w:t>HACCP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402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食品安全小组预备步骤、</w:t>
            </w:r>
            <w:r>
              <w:rPr>
                <w:rFonts w:hint="eastAsia" w:ascii="宋体" w:hAnsi="宋体" w:cs="宋体"/>
                <w:sz w:val="18"/>
                <w:szCs w:val="18"/>
              </w:rPr>
              <w:t>危害分析和制定控制措施、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关键控制点的确定、关键限值的确定、C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计划的确认和验证、H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记录的保持、食品欺诈和过敏原控制、标识和追溯计划、产品召回计划、应急预案</w:t>
            </w:r>
          </w:p>
        </w:tc>
        <w:tc>
          <w:tcPr>
            <w:tcW w:w="2752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H:6.3/6.4/6.7/6.8/7.1-7.9及GB14881相关条款内容及1.0要求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生产部（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生产车间、仓储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）</w:t>
            </w:r>
          </w:p>
        </w:tc>
        <w:tc>
          <w:tcPr>
            <w:tcW w:w="3402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撤回和召回；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GMP,SSOP的现场情况、CCP的监控及纠偏原材料和包装材料保障计划的现场情况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添加剂管理、产品防护计划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</w:p>
          <w:p>
            <w:pPr>
              <w:spacing w:after="40" w:line="280" w:lineRule="exact"/>
              <w:rPr>
                <w:rFonts w:hint="default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752" w:type="dxa"/>
            <w:shd w:val="clear" w:color="auto" w:fill="DCE6F2" w:themeFill="accent1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5.2/5.3.1/</w:t>
            </w:r>
            <w:r>
              <w:rPr>
                <w:rFonts w:hint="eastAsia" w:ascii="宋体" w:hAnsi="宋体"/>
                <w:sz w:val="18"/>
                <w:szCs w:val="18"/>
              </w:rPr>
              <w:t>6.3/6.4/6.6/6.7/7.6/7.7及GB14881相关条款内容及1.0要求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华文楷体" w:hAnsi="华文楷体" w:eastAsia="华文楷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1134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办公室</w:t>
            </w:r>
          </w:p>
        </w:tc>
        <w:tc>
          <w:tcPr>
            <w:tcW w:w="3402" w:type="dxa"/>
            <w:shd w:val="clear" w:color="auto" w:fill="EBF1DE" w:themeFill="accent3" w:themeFillTint="32"/>
            <w:vAlign w:val="top"/>
          </w:tcPr>
          <w:p>
            <w:pPr>
              <w:spacing w:after="40" w:line="280" w:lineRule="exact"/>
              <w:rPr>
                <w:rFonts w:hint="eastAsia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人力资源保障计划(健康证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人员能力培训、持证上岗人员等）</w:t>
            </w:r>
            <w:r>
              <w:rPr>
                <w:rFonts w:hint="eastAsia" w:ascii="宋体" w:hAnsi="宋体"/>
                <w:sz w:val="18"/>
                <w:szCs w:val="18"/>
              </w:rPr>
              <w:t>；工作环境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内部审核</w:t>
            </w:r>
          </w:p>
        </w:tc>
        <w:tc>
          <w:tcPr>
            <w:tcW w:w="2752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pacing w:val="-2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H:4.2/6.2/5.4及GB14881相关条款内容及1.0要求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>
            <w:pPr>
              <w:spacing w:after="40" w:line="280" w:lineRule="exact"/>
              <w:rPr>
                <w:rFonts w:hint="default" w:ascii="宋体" w:hAnsi="宋体" w:eastAsia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752" w:type="dxa"/>
            <w:shd w:val="clear" w:color="auto" w:fill="FFFFFF" w:themeFill="background1"/>
          </w:tcPr>
          <w:p>
            <w:pPr>
              <w:tabs>
                <w:tab w:val="left" w:pos="709"/>
                <w:tab w:val="left" w:pos="2640"/>
              </w:tabs>
              <w:spacing w:line="280" w:lineRule="exact"/>
              <w:ind w:left="57" w:right="5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13:00-14:00</w:t>
            </w:r>
          </w:p>
        </w:tc>
        <w:tc>
          <w:tcPr>
            <w:tcW w:w="1134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生产部（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生产车间、仓储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）</w:t>
            </w:r>
          </w:p>
        </w:tc>
        <w:tc>
          <w:tcPr>
            <w:tcW w:w="3402" w:type="dxa"/>
            <w:shd w:val="clear" w:color="auto" w:fill="DCE6F2" w:themeFill="accent1" w:themeFillTint="32"/>
            <w:vAlign w:val="top"/>
          </w:tcPr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工作环境、G</w:t>
            </w:r>
            <w:r>
              <w:rPr>
                <w:rFonts w:ascii="宋体" w:hAnsi="宋体"/>
                <w:sz w:val="18"/>
                <w:szCs w:val="18"/>
              </w:rPr>
              <w:t>MP</w:t>
            </w:r>
            <w:r>
              <w:rPr>
                <w:rFonts w:hint="eastAsia" w:ascii="宋体" w:hAnsi="宋体"/>
                <w:sz w:val="18"/>
                <w:szCs w:val="18"/>
              </w:rPr>
              <w:t>和S</w:t>
            </w:r>
            <w:r>
              <w:rPr>
                <w:rFonts w:ascii="宋体" w:hAnsi="宋体"/>
                <w:sz w:val="18"/>
                <w:szCs w:val="18"/>
              </w:rPr>
              <w:t>SOP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、关键控制点的监视系统、可追溯性系统、潜在不符合品控制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</w:rPr>
              <w:t>撤回和召回；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GMP,SSOP的现场情况、CCP的监控及纠偏原材料和包装材料保障计划的现场情况</w:t>
            </w:r>
          </w:p>
          <w:p>
            <w:pPr>
              <w:spacing w:after="40"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标识和追溯计划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添加剂管理、产品防护计划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维护和保障计划和控制</w:t>
            </w:r>
          </w:p>
          <w:p>
            <w:pPr>
              <w:spacing w:after="40" w:line="280" w:lineRule="exact"/>
              <w:rPr>
                <w:rFonts w:hint="default" w:ascii="宋体" w:hAnsi="宋体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食品欺诈和过敏原控制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752" w:type="dxa"/>
            <w:shd w:val="clear" w:color="auto" w:fill="DCE6F2" w:themeFill="accent1" w:themeFillTint="32"/>
            <w:vAlign w:val="top"/>
          </w:tcPr>
          <w:p>
            <w:pPr>
              <w:spacing w:line="280" w:lineRule="exact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H:6.3/6.4/6.6/6.7/7.6/7.7及GB14881相关条款内容及1.0要求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  <w:vAlign w:val="top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14:00-16:00</w:t>
            </w:r>
          </w:p>
        </w:tc>
        <w:tc>
          <w:tcPr>
            <w:tcW w:w="1134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质量部（质管部、质检部）</w:t>
            </w:r>
          </w:p>
        </w:tc>
        <w:tc>
          <w:tcPr>
            <w:tcW w:w="3402" w:type="dxa"/>
            <w:shd w:val="clear" w:color="auto" w:fill="DCE6F2" w:themeFill="accent1" w:themeFillTint="32"/>
          </w:tcPr>
          <w:p>
            <w:pPr>
              <w:spacing w:after="40"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原辅料、食品包装材料安全卫生保障制度；GMP、SSOP和</w:t>
            </w:r>
            <w:r>
              <w:rPr>
                <w:rFonts w:hint="eastAsia" w:ascii="宋体" w:hAnsi="宋体"/>
                <w:sz w:val="18"/>
                <w:szCs w:val="18"/>
              </w:rPr>
              <w:t>HACCP计划的确认和验证、</w:t>
            </w:r>
            <w:r>
              <w:rPr>
                <w:rFonts w:hint="eastAsia" w:ascii="宋体" w:hAnsi="宋体" w:cs="宋体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z w:val="18"/>
                <w:szCs w:val="18"/>
              </w:rPr>
              <w:t>CP</w:t>
            </w:r>
            <w:r>
              <w:rPr>
                <w:rFonts w:hint="eastAsia" w:ascii="宋体" w:hAnsi="宋体" w:cs="宋体"/>
                <w:sz w:val="18"/>
                <w:szCs w:val="18"/>
              </w:rPr>
              <w:t>点的监控、建立关键限值偏离时的纠偏措施</w:t>
            </w:r>
          </w:p>
        </w:tc>
        <w:tc>
          <w:tcPr>
            <w:tcW w:w="2752" w:type="dxa"/>
            <w:shd w:val="clear" w:color="auto" w:fill="DCE6F2" w:themeFill="accent1" w:themeFillTint="32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H：6.4/6.5/7.6/7.7/7.8及GB14881相关条款内容及1.0要求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DCE6F2" w:themeFill="accent1" w:themeFillTint="32"/>
          </w:tcPr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13:00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-1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6:00</w:t>
            </w:r>
          </w:p>
        </w:tc>
        <w:tc>
          <w:tcPr>
            <w:tcW w:w="1134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hint="eastAsia" w:ascii="宋体" w:hAnsi="宋体" w:eastAsia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供销部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采购部、销售部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02" w:type="dxa"/>
            <w:shd w:val="clear" w:color="auto" w:fill="EBF1DE" w:themeFill="accent3" w:themeFillTint="32"/>
          </w:tcPr>
          <w:p>
            <w:pPr>
              <w:spacing w:after="40" w:line="280" w:lineRule="exact"/>
              <w:rPr>
                <w:rFonts w:hint="default" w:ascii="宋体" w:hAnsi="宋体" w:eastAsia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原辅料、食品包装材料安全卫生保障制度、采购及验收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沟通</w:t>
            </w:r>
          </w:p>
        </w:tc>
        <w:tc>
          <w:tcPr>
            <w:tcW w:w="2752" w:type="dxa"/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5.3.2/6.3/</w:t>
            </w:r>
            <w:r>
              <w:rPr>
                <w:rFonts w:hint="eastAsia" w:ascii="宋体" w:hAnsi="宋体"/>
                <w:sz w:val="18"/>
                <w:szCs w:val="18"/>
              </w:rPr>
              <w:t>6.5及GB14881相关条款内容及1.0要求</w:t>
            </w:r>
          </w:p>
        </w:tc>
        <w:tc>
          <w:tcPr>
            <w:tcW w:w="1148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ascii="华文楷体" w:hAnsi="华文楷体" w:eastAsia="华文楷体"/>
                <w:sz w:val="18"/>
                <w:szCs w:val="18"/>
              </w:rPr>
            </w:pPr>
            <w:r>
              <w:rPr>
                <w:rFonts w:ascii="华文楷体" w:hAnsi="华文楷体" w:eastAsia="华文楷体"/>
                <w:sz w:val="18"/>
                <w:szCs w:val="18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:0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ascii="华文楷体" w:hAnsi="华文楷体" w:eastAsia="华文楷体"/>
                <w:sz w:val="18"/>
                <w:szCs w:val="18"/>
              </w:rPr>
              <w:t>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6:30</w:t>
            </w:r>
          </w:p>
        </w:tc>
        <w:tc>
          <w:tcPr>
            <w:tcW w:w="1134" w:type="dxa"/>
          </w:tcPr>
          <w:p>
            <w:pPr>
              <w:spacing w:line="280" w:lineRule="exact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line="28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2752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rPr>
                <w:rFonts w:hint="default" w:ascii="华文楷体" w:hAnsi="华文楷体" w:eastAsia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1134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spacing w:after="40" w:line="280" w:lineRule="exac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审核结束</w:t>
            </w:r>
          </w:p>
        </w:tc>
        <w:tc>
          <w:tcPr>
            <w:tcW w:w="2752" w:type="dxa"/>
          </w:tcPr>
          <w:p>
            <w:pPr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B"/>
    <w:rsid w:val="000B415F"/>
    <w:rsid w:val="001D5F8C"/>
    <w:rsid w:val="0031599B"/>
    <w:rsid w:val="00436226"/>
    <w:rsid w:val="00475FA5"/>
    <w:rsid w:val="0060583E"/>
    <w:rsid w:val="00721350"/>
    <w:rsid w:val="00881FB9"/>
    <w:rsid w:val="009D105F"/>
    <w:rsid w:val="00AC24E9"/>
    <w:rsid w:val="00BC1425"/>
    <w:rsid w:val="00C20FB5"/>
    <w:rsid w:val="00C42E41"/>
    <w:rsid w:val="00CE1A6A"/>
    <w:rsid w:val="00D93281"/>
    <w:rsid w:val="00FE0054"/>
    <w:rsid w:val="02DD77D8"/>
    <w:rsid w:val="05F079BC"/>
    <w:rsid w:val="07284C48"/>
    <w:rsid w:val="0B5F1D96"/>
    <w:rsid w:val="0C494494"/>
    <w:rsid w:val="0CBC0F01"/>
    <w:rsid w:val="0D1B538B"/>
    <w:rsid w:val="0DF23D81"/>
    <w:rsid w:val="0F00536C"/>
    <w:rsid w:val="0F4D2F1C"/>
    <w:rsid w:val="0F68624C"/>
    <w:rsid w:val="11687C65"/>
    <w:rsid w:val="16226157"/>
    <w:rsid w:val="18D61FB9"/>
    <w:rsid w:val="1A997AAB"/>
    <w:rsid w:val="1B194CAF"/>
    <w:rsid w:val="1CD92AC2"/>
    <w:rsid w:val="1D2F3A02"/>
    <w:rsid w:val="1EC72E72"/>
    <w:rsid w:val="1FF13C07"/>
    <w:rsid w:val="202A1CB9"/>
    <w:rsid w:val="223934AF"/>
    <w:rsid w:val="23577455"/>
    <w:rsid w:val="23B6256F"/>
    <w:rsid w:val="25CB3872"/>
    <w:rsid w:val="26C4050A"/>
    <w:rsid w:val="26C4166B"/>
    <w:rsid w:val="2714635E"/>
    <w:rsid w:val="290B715B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A360C5"/>
    <w:rsid w:val="310B15CD"/>
    <w:rsid w:val="31D20763"/>
    <w:rsid w:val="32EA227A"/>
    <w:rsid w:val="33C0725F"/>
    <w:rsid w:val="35EE609E"/>
    <w:rsid w:val="39713F5D"/>
    <w:rsid w:val="398B00C0"/>
    <w:rsid w:val="3B9B4D0D"/>
    <w:rsid w:val="3BDA6E55"/>
    <w:rsid w:val="3C2E756D"/>
    <w:rsid w:val="3C62678B"/>
    <w:rsid w:val="3DC23B9B"/>
    <w:rsid w:val="3ECD7FF5"/>
    <w:rsid w:val="405C2D90"/>
    <w:rsid w:val="41B063B6"/>
    <w:rsid w:val="42731DB6"/>
    <w:rsid w:val="44586056"/>
    <w:rsid w:val="466D532B"/>
    <w:rsid w:val="46911F57"/>
    <w:rsid w:val="488945D7"/>
    <w:rsid w:val="48D00D0E"/>
    <w:rsid w:val="4A5A1AF0"/>
    <w:rsid w:val="4B2B37A0"/>
    <w:rsid w:val="4EA76D11"/>
    <w:rsid w:val="4FA56B6C"/>
    <w:rsid w:val="533F371C"/>
    <w:rsid w:val="55483CFB"/>
    <w:rsid w:val="563F79B8"/>
    <w:rsid w:val="58952A6E"/>
    <w:rsid w:val="5C5E10D1"/>
    <w:rsid w:val="5D7D1DEE"/>
    <w:rsid w:val="5DE10183"/>
    <w:rsid w:val="5E256FA4"/>
    <w:rsid w:val="5FA03C20"/>
    <w:rsid w:val="60C16BE5"/>
    <w:rsid w:val="612D08BA"/>
    <w:rsid w:val="63070D50"/>
    <w:rsid w:val="63AC6237"/>
    <w:rsid w:val="67722849"/>
    <w:rsid w:val="69052847"/>
    <w:rsid w:val="6BB8230C"/>
    <w:rsid w:val="6E2274AC"/>
    <w:rsid w:val="6F67243D"/>
    <w:rsid w:val="713D72F2"/>
    <w:rsid w:val="72D67AC0"/>
    <w:rsid w:val="73FC719A"/>
    <w:rsid w:val="75347A77"/>
    <w:rsid w:val="75474562"/>
    <w:rsid w:val="756D3EAC"/>
    <w:rsid w:val="770F23CB"/>
    <w:rsid w:val="7773494B"/>
    <w:rsid w:val="77D66267"/>
    <w:rsid w:val="791078FF"/>
    <w:rsid w:val="79697F4F"/>
    <w:rsid w:val="7D84749A"/>
    <w:rsid w:val="7F823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484</Words>
  <Characters>2765</Characters>
  <Lines>23</Lines>
  <Paragraphs>6</Paragraphs>
  <TotalTime>1</TotalTime>
  <ScaleCrop>false</ScaleCrop>
  <LinksUpToDate>false</LinksUpToDate>
  <CharactersWithSpaces>3243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2020-10-20T07:52:00Z</dcterms:created>
  <dc:creator>微软用户</dc:creator>
  <cp:lastModifiedBy>肖新龙</cp:lastModifiedBy>
  <dcterms:modified xsi:type="dcterms:W3CDTF">2021-06-03T00:35:29Z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1B47D6E3C0094DDEB0F3E59748606695</vt:lpwstr>
  </property>
</Properties>
</file>