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综合管理部（</w:t>
      </w:r>
      <w:r>
        <w:rPr>
          <w:rFonts w:hint="eastAsia"/>
          <w:sz w:val="24"/>
          <w:szCs w:val="24"/>
          <w:lang w:val="en-US" w:eastAsia="zh-CN"/>
        </w:rPr>
        <w:t>含财务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 xml:space="preserve">研发技术部、市场部    </w:t>
      </w:r>
    </w:p>
    <w:p>
      <w:pPr>
        <w:spacing w:line="480" w:lineRule="exact"/>
        <w:jc w:val="left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eastAsia="zh-CN"/>
        </w:rPr>
        <w:t>赵欢、白书祯</w:t>
      </w:r>
      <w:r>
        <w:rPr>
          <w:rFonts w:hint="eastAsia"/>
          <w:sz w:val="24"/>
          <w:szCs w:val="24"/>
          <w:lang w:val="en-US" w:eastAsia="zh-CN"/>
        </w:rPr>
        <w:t xml:space="preserve">，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val="en-US" w:eastAsia="zh-CN"/>
        </w:rPr>
        <w:t>文平、张心、冉景洲、余家龙、陈伟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eastAsia="zh-CN"/>
        </w:rPr>
        <w:t>2021年5月30日</w:t>
      </w:r>
    </w:p>
    <w:tbl>
      <w:tblPr>
        <w:tblStyle w:val="9"/>
        <w:tblW w:w="151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25"/>
        <w:gridCol w:w="1004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36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ind w:firstLine="4560" w:firstLineChars="1900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文平、张心、冉景洲、余家龙、陈伟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00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都华西公用医疗信息服务有限公司于1999年在原四川大学华西医院计算机中心的基础上组建成立，为国家高新技术企业，四川省建设创新型培育企业，注册资金1000万，位于四川大学华西医院信息楼8楼及天府国际金融中心4号楼8楼，公司始终致力于信息技术在医疗卫生领域的应用开发和技术服务，包括远程医学系统的应用研发、平台建设、技术服务，数字化医院建设与应用研究、数字化医院解决方案的提供及产品研发和实施，区域医疗卫生信息平台解决方案的提供和产品及技术服务，医疗主动服务系统的应用研发、平台建设、技术服务与应用研究。现有员工</w:t>
            </w:r>
            <w:r>
              <w:rPr>
                <w:rFonts w:hint="eastAsia"/>
                <w:szCs w:val="21"/>
                <w:lang w:val="en-US" w:eastAsia="zh-CN"/>
              </w:rPr>
              <w:t>304</w:t>
            </w:r>
            <w:r>
              <w:rPr>
                <w:rFonts w:hint="eastAsia"/>
                <w:szCs w:val="21"/>
              </w:rPr>
              <w:t>人，目前经营情况良好。</w:t>
            </w:r>
          </w:p>
          <w:p>
            <w:pPr>
              <w:pStyle w:val="16"/>
              <w:rPr>
                <w:rFonts w:hint="eastAsia"/>
              </w:rPr>
            </w:pPr>
          </w:p>
          <w:p>
            <w:pPr>
              <w:spacing w:line="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查见企业营业执照副本，企业经营范围包含认证产品，具备有效资格，详见复印件。</w:t>
            </w:r>
          </w:p>
          <w:p>
            <w:pPr>
              <w:pStyle w:val="16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eastAsia="zh-CN"/>
              </w:rPr>
              <w:t>综合管理部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研发技术部、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leftChars="200" w:hanging="210" w:hanging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r>
              <w:rPr>
                <w:rFonts w:hint="eastAsia"/>
                <w:lang w:eastAsia="zh-CN"/>
              </w:rPr>
              <w:t>中国（四川）自由贸易试验区成都高新区天府大道北段966号4号楼8层</w:t>
            </w:r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QMS:</w:t>
            </w:r>
            <w:r>
              <w:rPr>
                <w:rFonts w:hint="eastAsia" w:ascii="宋体" w:hAnsi="宋体"/>
                <w:szCs w:val="21"/>
                <w:lang w:eastAsia="zh-CN"/>
              </w:rPr>
              <w:t>医疗管理信息系统集成及相关应用软件的设计与开发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EMS</w:t>
            </w:r>
            <w:r>
              <w:rPr>
                <w:rFonts w:ascii="宋体" w:hAnsi="宋体"/>
                <w:b/>
                <w:color w:val="000000"/>
                <w:sz w:val="20"/>
                <w:lang w:val="en-GB"/>
              </w:rPr>
              <w:t>:</w:t>
            </w:r>
            <w:r>
              <w:rPr>
                <w:rFonts w:hint="eastAsia" w:ascii="宋体" w:hAnsi="宋体"/>
                <w:szCs w:val="21"/>
                <w:lang w:eastAsia="zh-CN"/>
              </w:rPr>
              <w:t>医疗管理信息系统集成及相关应用软件的设计与开发</w:t>
            </w:r>
            <w:r>
              <w:rPr>
                <w:rFonts w:hint="eastAsia" w:ascii="宋体" w:hAnsi="宋体"/>
                <w:szCs w:val="21"/>
              </w:rPr>
              <w:t>所涉及场所的相关环境管理活动。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OHSMS</w:t>
            </w:r>
            <w:r>
              <w:rPr>
                <w:rFonts w:ascii="宋体" w:hAnsi="宋体"/>
                <w:b/>
                <w:color w:val="000000"/>
                <w:sz w:val="20"/>
                <w:lang w:val="en-GB"/>
              </w:rPr>
              <w:t>:</w:t>
            </w:r>
            <w:r>
              <w:rPr>
                <w:rFonts w:hint="eastAsia" w:ascii="宋体" w:hAnsi="宋体"/>
                <w:szCs w:val="21"/>
                <w:lang w:eastAsia="zh-CN"/>
              </w:rPr>
              <w:t>医疗管理信息系统集成及相关应用软件的设计与开发</w:t>
            </w:r>
            <w:r>
              <w:rPr>
                <w:rFonts w:hint="eastAsia" w:ascii="宋体" w:hAnsi="宋体"/>
                <w:szCs w:val="21"/>
              </w:rPr>
              <w:t>所涉及场所的相关职业健康安全管理活动 。</w:t>
            </w:r>
          </w:p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询问，主要设备为办公设备、电脑、打印机、服务器、存储、电锤、手枪钻、五金手动工具等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设计研发、隐蔽工程</w:t>
            </w:r>
            <w:r>
              <w:rPr>
                <w:rFonts w:hint="eastAsia" w:ascii="宋体" w:hAnsi="宋体"/>
                <w:szCs w:val="21"/>
              </w:rPr>
              <w:t>为关键过程。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/>
                <w:szCs w:val="21"/>
                <w:lang w:eastAsia="zh-CN"/>
              </w:rPr>
              <w:t>综合管理部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市场部、</w:t>
            </w:r>
            <w:r>
              <w:rPr>
                <w:rFonts w:hint="eastAsia" w:ascii="宋体" w:hAnsi="宋体"/>
                <w:szCs w:val="21"/>
                <w:lang w:eastAsia="zh-CN"/>
              </w:rPr>
              <w:t>研发技术部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</w:t>
            </w:r>
            <w:r>
              <w:rPr>
                <w:rFonts w:hint="eastAsia" w:ascii="宋体" w:hAnsi="宋体"/>
                <w:szCs w:val="21"/>
                <w:lang w:eastAsia="zh-CN"/>
              </w:rPr>
              <w:t>作业流程图</w:t>
            </w:r>
            <w:r>
              <w:rPr>
                <w:rFonts w:hint="eastAsia" w:ascii="宋体" w:hAnsi="宋体"/>
                <w:szCs w:val="21"/>
              </w:rPr>
              <w:t>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spacing w:line="276" w:lineRule="auto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质量方针：</w:t>
            </w:r>
          </w:p>
          <w:p>
            <w:pPr>
              <w:spacing w:line="276" w:lineRule="auto"/>
              <w:ind w:firstLine="420" w:firstLineChars="200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 以稳定品质、完善服务、持续改进、满足顾客需求 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环境</w:t>
            </w:r>
            <w:r>
              <w:rPr>
                <w:rFonts w:hint="eastAsia"/>
                <w:lang w:eastAsia="zh-CN"/>
              </w:rPr>
              <w:t>、职业健康安全</w:t>
            </w:r>
            <w:r>
              <w:rPr>
                <w:rFonts w:hint="eastAsia"/>
              </w:rPr>
              <w:t>方针： 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/>
              </w:rPr>
            </w:pPr>
            <w:r>
              <w:rPr>
                <w:rFonts w:hint="eastAsia"/>
              </w:rPr>
              <w:t>以安全为主、保护环境、守法诚信、体现社会责任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质量、环境、职业健康安全目标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1) 产品研发合格率100%； 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2) 项目验收合格率达到100%； 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3） 顾客满意率≥95%；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4) 重大安全事故的发生为零；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5) 固废分类收集，合规处置率100%；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6) 全年火灾、触电事故发生率为“0”。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拟定有管理方案和预案。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</w:tbl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br w:type="page"/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51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36"/>
        <w:gridCol w:w="98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14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文平、张心、冉景洲、余家龙、陈伟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3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8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79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</w:t>
            </w:r>
            <w:r>
              <w:rPr>
                <w:rFonts w:hint="eastAsia" w:ascii="宋体" w:hAnsi="宋体"/>
                <w:szCs w:val="21"/>
                <w:lang w:eastAsia="zh-CN"/>
              </w:rPr>
              <w:t>内部审核程序</w:t>
            </w:r>
            <w:r>
              <w:rPr>
                <w:rFonts w:hint="eastAsia" w:ascii="宋体" w:hAnsi="宋体"/>
                <w:szCs w:val="21"/>
              </w:rPr>
              <w:t>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内审时间：2020年11月25日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内审组：唐晓红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（组长）、赵欢（组员）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份，涉及</w:t>
            </w:r>
            <w:r>
              <w:rPr>
                <w:rFonts w:hint="eastAsia" w:ascii="宋体" w:hAnsi="宋体"/>
                <w:szCs w:val="21"/>
                <w:lang w:eastAsia="zh-CN"/>
              </w:rPr>
              <w:t>综合管理部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/>
                <w:szCs w:val="21"/>
              </w:rPr>
              <w:t>ES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7.5.3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eastAsia="zh-CN"/>
              </w:rPr>
              <w:t>“查法律法规清单时发现部分法律法规未及时更新”</w:t>
            </w:r>
            <w:r>
              <w:rPr>
                <w:rFonts w:hint="eastAsia" w:ascii="宋体" w:hAnsi="宋体"/>
                <w:szCs w:val="21"/>
              </w:rPr>
              <w:t>。针对该不符合项，已及时采取纠正措施后，经内审员验证关闭。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管理评审于2020年12月10日由总经</w:t>
            </w:r>
            <w:r>
              <w:rPr>
                <w:rFonts w:hint="eastAsia" w:ascii="宋体" w:hAnsi="宋体"/>
                <w:sz w:val="21"/>
                <w:szCs w:val="21"/>
              </w:rPr>
              <w:t>理岳义丰主持完成。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460" w:lineRule="exact"/>
              <w:ind w:firstLine="420" w:firstLineChars="200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spacing w:line="460" w:lineRule="exact"/>
              <w:ind w:firstLine="420" w:firstLineChars="200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提出以下改进内容：加强质量、环境、职业健康安全体系文件的培训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spacing w:line="460" w:lineRule="exact"/>
              <w:rPr>
                <w:rFonts w:ascii="宋体" w:hAnsi="宋体"/>
                <w:kern w:val="0"/>
                <w:szCs w:val="21"/>
                <w:u w:val="single"/>
              </w:rPr>
            </w:pP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安评报告及安评验收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pStyle w:val="2"/>
              <w:rPr>
                <w:szCs w:val="21"/>
                <w:highlight w:val="none"/>
              </w:rPr>
            </w:pPr>
          </w:p>
          <w:p>
            <w:pPr>
              <w:pStyle w:val="2"/>
              <w:rPr>
                <w:szCs w:val="21"/>
                <w:highlight w:val="none"/>
              </w:rPr>
            </w:pPr>
          </w:p>
          <w:p>
            <w:pPr>
              <w:pStyle w:val="2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执行的排污标准（EMS）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执行的安全法规（OHSMS）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合规性评价报告 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环境相关监测报告（EMS）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职业健康相关监测报告（OHSMS）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产品质量监督抽查情况（QMS）</w:t>
            </w:r>
          </w:p>
        </w:tc>
        <w:tc>
          <w:tcPr>
            <w:tcW w:w="9636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、中华人民共和国消费者权益保护法</w:t>
            </w:r>
            <w:r>
              <w:rPr>
                <w:rFonts w:hint="eastAsia" w:ascii="宋体" w:hAnsi="宋体"/>
                <w:szCs w:val="21"/>
              </w:rPr>
              <w:t>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不适用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  <w:lang w:eastAsia="zh-CN"/>
              </w:rPr>
              <w:t>计算机软件文档编制规范GB/T 8567-2006、信息技术 软件维护GB/T 20157-2006、GB/T 20273-2006信息安全技术 数据库管理系统安全技术要求、计算机软件测试规范GB/T 15532-2008、GB/T 20009-2005 信息安全技术 数据库管理系统安全评估准则、《信息技术设备的安全》（GB4943-2001）、YD/T 2405-2012   互联网数据中心和互联网接入服务信息安全管理系统接口规范、YD/T 2248-2012  互联网数据中心和互联网接入服务信息安全管理系统技术要求GB/T 9386-1988 计算机软件测试文件编制规范、GB50174-2008《电子信息系统机房设计规范》、GB/T 8566-2007《信息技术 软件生存周期过程》、GB/T 16680-2015《系统与软件工程 用户文档的管理者要求》等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。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污水排入城镇下水道水质标准（</w:t>
            </w:r>
            <w:r>
              <w:rPr>
                <w:rFonts w:ascii="宋体" w:hAnsi="宋体"/>
                <w:szCs w:val="21"/>
                <w:highlight w:val="none"/>
              </w:rPr>
              <w:t>GB/T 31962-2015</w:t>
            </w:r>
            <w:r>
              <w:rPr>
                <w:rFonts w:hint="eastAsia" w:ascii="宋体" w:hAnsi="宋体"/>
                <w:szCs w:val="21"/>
                <w:highlight w:val="none"/>
              </w:rPr>
              <w:t>）</w:t>
            </w:r>
          </w:p>
          <w:p>
            <w:pPr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中华人民共和国安全消防法、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中华人民共和国安全生产法等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2021年4月20日进行了合规性评价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无质量监督抽查。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00" w:lineRule="exact"/>
            </w:pPr>
            <w:r>
              <w:rPr>
                <w:rFonts w:hint="eastAsia"/>
              </w:rPr>
              <w:t>符合</w:t>
            </w: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rPr>
                <w:lang w:val="en-US" w:eastAsia="zh-CN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636" w:type="dxa"/>
            <w:vAlign w:val="top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1、软件研发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调研客户需求--设计任务书----产品设计、测试（设计变更、优化）----设计评审---设计验证---设计确认----客户验收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2、系统集成项目流程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业务洽谈</w:t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t>——制定系统集成方案——项目安装——试运行（调试）——客户验收——售后服务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需确认过程：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研发设计过程、隐蔽工程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固体废弃物的排放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潜在火灾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噪声的排放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触电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潜在火灾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机械伤害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公司拟定有《火灾、触电应急预案》，2021年3月25日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进行了消防应急</w:t>
            </w:r>
            <w:r>
              <w:rPr>
                <w:rFonts w:hint="eastAsia" w:ascii="宋体" w:hAnsi="宋体"/>
                <w:szCs w:val="21"/>
                <w:highlight w:val="none"/>
              </w:rPr>
              <w:t>演习。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Q/E/S:8.1、8.2;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E/S;6.1.2;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  <w:vAlign w:val="top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华西互联网医院项目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办公</w:t>
            </w:r>
            <w:r>
              <w:rPr>
                <w:rFonts w:hint="eastAsia"/>
                <w:lang w:eastAsia="zh-CN"/>
              </w:rPr>
              <w:t>用品、</w:t>
            </w:r>
            <w:r>
              <w:rPr>
                <w:rFonts w:hint="eastAsia"/>
              </w:rPr>
              <w:t>辅料等。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304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Q/E/S:7.2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3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库房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特种设备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环保设施（EMS）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安全设施（OHSMS）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主要检测设备及设备的检定/校准（QMS）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环保监测设备（EMS）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安全监测设备（OHSMS）</w:t>
            </w:r>
          </w:p>
        </w:tc>
        <w:tc>
          <w:tcPr>
            <w:tcW w:w="9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办公设备、电脑、打印机、服务器、存储、电锤、手枪钻、五金手动工具等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无库房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消防栓、灭火器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配电箱、空开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钢卷尺、万用表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办公楼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  <w:p>
            <w:pPr>
              <w:pStyle w:val="11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  <w:p>
            <w:pPr>
              <w:pStyle w:val="11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Q/E/S:10.2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636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二阶段质量管理体系宜重点关注（合同评审、设计过程、系统集成过程、采购控制、销售服务等）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重点审核部门：研发技术部、综合管理部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重点审核过程：设计过程的控制，系统集成过程、产品销售和服务提供控制、顾客满意；产品和服务放行、不合格产品控制等。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重点审核场所：办公场所、在建项目场所。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</w:tbl>
    <w:p>
      <w:r>
        <w:rPr>
          <w:rFonts w:hint="eastAsia"/>
        </w:rPr>
        <w:t>说明：不符合标注N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FA38E4"/>
    <w:rsid w:val="01B57E17"/>
    <w:rsid w:val="02B806B8"/>
    <w:rsid w:val="04344E5D"/>
    <w:rsid w:val="07484D64"/>
    <w:rsid w:val="08C32C1F"/>
    <w:rsid w:val="09E43278"/>
    <w:rsid w:val="0A8C5783"/>
    <w:rsid w:val="0B527AD2"/>
    <w:rsid w:val="0BC3076A"/>
    <w:rsid w:val="0E113F9D"/>
    <w:rsid w:val="0EB04532"/>
    <w:rsid w:val="0FA51BD4"/>
    <w:rsid w:val="10D55E65"/>
    <w:rsid w:val="124B48DE"/>
    <w:rsid w:val="15905496"/>
    <w:rsid w:val="165563F1"/>
    <w:rsid w:val="16732BD6"/>
    <w:rsid w:val="198A21B8"/>
    <w:rsid w:val="1A3E4AD1"/>
    <w:rsid w:val="1BA67A3C"/>
    <w:rsid w:val="1C3703CE"/>
    <w:rsid w:val="1D692779"/>
    <w:rsid w:val="20A47761"/>
    <w:rsid w:val="22A12553"/>
    <w:rsid w:val="24B83140"/>
    <w:rsid w:val="27EE0C83"/>
    <w:rsid w:val="28015F9A"/>
    <w:rsid w:val="297A406C"/>
    <w:rsid w:val="29EC023C"/>
    <w:rsid w:val="2BA601F3"/>
    <w:rsid w:val="2D09729A"/>
    <w:rsid w:val="2D987A5F"/>
    <w:rsid w:val="2DB46572"/>
    <w:rsid w:val="2E2B3E2C"/>
    <w:rsid w:val="2E8138BA"/>
    <w:rsid w:val="316E6DF8"/>
    <w:rsid w:val="327571D3"/>
    <w:rsid w:val="34F6380B"/>
    <w:rsid w:val="35F866C1"/>
    <w:rsid w:val="365641EC"/>
    <w:rsid w:val="38273492"/>
    <w:rsid w:val="38515221"/>
    <w:rsid w:val="3B166452"/>
    <w:rsid w:val="3D7F6201"/>
    <w:rsid w:val="3E122340"/>
    <w:rsid w:val="400D2702"/>
    <w:rsid w:val="41A718D9"/>
    <w:rsid w:val="431279BF"/>
    <w:rsid w:val="452F5682"/>
    <w:rsid w:val="455B45AD"/>
    <w:rsid w:val="46312142"/>
    <w:rsid w:val="47BA727A"/>
    <w:rsid w:val="48E472A9"/>
    <w:rsid w:val="4C940456"/>
    <w:rsid w:val="5098678E"/>
    <w:rsid w:val="51C96826"/>
    <w:rsid w:val="538D7E93"/>
    <w:rsid w:val="540E7205"/>
    <w:rsid w:val="55BF4854"/>
    <w:rsid w:val="58501FC8"/>
    <w:rsid w:val="589B21E9"/>
    <w:rsid w:val="59B23EB6"/>
    <w:rsid w:val="5C8E7602"/>
    <w:rsid w:val="5D166A7A"/>
    <w:rsid w:val="5EDA287F"/>
    <w:rsid w:val="5FBF0624"/>
    <w:rsid w:val="5FEE4A20"/>
    <w:rsid w:val="5FFA4FF1"/>
    <w:rsid w:val="62F96E37"/>
    <w:rsid w:val="64797C41"/>
    <w:rsid w:val="65A41CAB"/>
    <w:rsid w:val="66501AA3"/>
    <w:rsid w:val="678D653E"/>
    <w:rsid w:val="67C52002"/>
    <w:rsid w:val="6823493A"/>
    <w:rsid w:val="692B306A"/>
    <w:rsid w:val="69A2532F"/>
    <w:rsid w:val="6B9240C2"/>
    <w:rsid w:val="6C3816FB"/>
    <w:rsid w:val="6C6F70AD"/>
    <w:rsid w:val="6D0368DC"/>
    <w:rsid w:val="6E314EDB"/>
    <w:rsid w:val="6F7145F2"/>
    <w:rsid w:val="70412780"/>
    <w:rsid w:val="70A82393"/>
    <w:rsid w:val="725B5C97"/>
    <w:rsid w:val="73AF74F8"/>
    <w:rsid w:val="74134F78"/>
    <w:rsid w:val="744D5136"/>
    <w:rsid w:val="74942B83"/>
    <w:rsid w:val="75365185"/>
    <w:rsid w:val="774A1ED8"/>
    <w:rsid w:val="77AF0FA2"/>
    <w:rsid w:val="7AD8609A"/>
    <w:rsid w:val="7B697518"/>
    <w:rsid w:val="7C743121"/>
    <w:rsid w:val="7F3261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100" w:beforeAutospacing="1" w:after="100" w:afterAutospacing="1" w:line="360" w:lineRule="auto"/>
      <w:jc w:val="left"/>
      <w:outlineLvl w:val="0"/>
    </w:pPr>
    <w:rPr>
      <w:b/>
      <w:bCs/>
      <w:kern w:val="44"/>
      <w:sz w:val="28"/>
      <w:szCs w:val="44"/>
    </w:rPr>
  </w:style>
  <w:style w:type="paragraph" w:styleId="5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2021-06-07T08:29:21Z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5B1EA37837DD4234A8D876A147BED455</vt:lpwstr>
  </property>
</Properties>
</file>