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Lines="30"/>
        <w:jc w:val="center"/>
        <w:rPr>
          <w:rFonts w:ascii="楷体" w:hAnsi="楷体" w:eastAsia="楷体"/>
          <w:b/>
          <w:color w:val="000000" w:themeColor="text1"/>
          <w:sz w:val="84"/>
          <w:szCs w:val="84"/>
        </w:rPr>
      </w:pPr>
    </w:p>
    <w:p>
      <w:pPr>
        <w:snapToGrid w:val="0"/>
        <w:spacing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cstate="print"/>
                    <a:stretch>
                      <a:fillRect/>
                    </a:stretch>
                  </pic:blipFill>
                  <pic:spPr>
                    <a:xfrm>
                      <a:off x="0" y="0"/>
                      <a:ext cx="1887913" cy="1887913"/>
                    </a:xfrm>
                    <a:prstGeom prst="rect">
                      <a:avLst/>
                    </a:prstGeom>
                  </pic:spPr>
                </pic:pic>
              </a:graphicData>
            </a:graphic>
          </wp:inline>
        </w:drawing>
      </w:r>
    </w:p>
    <w:p>
      <w:pPr>
        <w:snapToGrid w:val="0"/>
        <w:spacing w:afterLines="30"/>
        <w:jc w:val="center"/>
        <w:rPr>
          <w:rFonts w:ascii="楷体" w:hAnsi="楷体" w:eastAsia="楷体"/>
          <w:b/>
          <w:color w:val="000000" w:themeColor="text1"/>
          <w:sz w:val="52"/>
          <w:szCs w:val="52"/>
        </w:rPr>
      </w:pPr>
    </w:p>
    <w:p>
      <w:pPr>
        <w:snapToGrid w:val="0"/>
        <w:spacing w:afterLines="30"/>
        <w:jc w:val="center"/>
        <w:rPr>
          <w:rFonts w:ascii="楷体" w:hAnsi="楷体" w:eastAsia="楷体"/>
          <w:b/>
          <w:color w:val="000000" w:themeColor="text1"/>
          <w:sz w:val="52"/>
          <w:szCs w:val="52"/>
        </w:rPr>
      </w:pPr>
    </w:p>
    <w:p>
      <w:pPr>
        <w:snapToGrid w:val="0"/>
        <w:spacing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Lines="30"/>
        <w:jc w:val="center"/>
        <w:rPr>
          <w:rFonts w:ascii="楷体" w:hAnsi="楷体" w:eastAsia="楷体"/>
          <w:b/>
          <w:color w:val="000000" w:themeColor="text1"/>
          <w:sz w:val="36"/>
          <w:szCs w:val="36"/>
        </w:rPr>
      </w:pPr>
    </w:p>
    <w:p>
      <w:pPr>
        <w:snapToGrid w:val="0"/>
        <w:spacing w:afterLines="30"/>
        <w:jc w:val="center"/>
        <w:rPr>
          <w:rFonts w:ascii="楷体" w:hAnsi="楷体" w:eastAsia="楷体"/>
          <w:b/>
          <w:color w:val="000000" w:themeColor="text1"/>
          <w:sz w:val="36"/>
          <w:szCs w:val="36"/>
        </w:rPr>
      </w:pPr>
    </w:p>
    <w:p>
      <w:pPr>
        <w:snapToGrid w:val="0"/>
        <w:spacing w:afterLines="30"/>
        <w:jc w:val="center"/>
        <w:rPr>
          <w:rFonts w:ascii="楷体" w:hAnsi="楷体" w:eastAsia="楷体"/>
          <w:b/>
          <w:color w:val="000000" w:themeColor="text1"/>
          <w:sz w:val="32"/>
          <w:szCs w:val="32"/>
        </w:rPr>
      </w:pPr>
    </w:p>
    <w:p>
      <w:pPr>
        <w:snapToGrid w:val="0"/>
        <w:spacing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0" w:name="组织名称"/>
      <w:r>
        <w:rPr>
          <w:rFonts w:ascii="楷体" w:hAnsi="楷体" w:eastAsia="楷体"/>
          <w:b/>
          <w:color w:val="000000" w:themeColor="text1"/>
          <w:sz w:val="32"/>
          <w:szCs w:val="32"/>
          <w:u w:val="single"/>
        </w:rPr>
        <w:t>重庆铭弘工程塑料制品有限公司</w:t>
      </w:r>
      <w:bookmarkEnd w:id="0"/>
    </w:p>
    <w:p>
      <w:pPr>
        <w:snapToGrid w:val="0"/>
        <w:spacing w:afterLines="30"/>
        <w:ind w:firstLine="1928" w:firstLineChars="600"/>
        <w:rPr>
          <w:rFonts w:ascii="楷体" w:hAnsi="楷体" w:eastAsia="楷体"/>
          <w:b/>
          <w:color w:val="000000" w:themeColor="text1"/>
          <w:sz w:val="32"/>
          <w:szCs w:val="32"/>
        </w:rPr>
      </w:pPr>
    </w:p>
    <w:p>
      <w:pPr>
        <w:snapToGrid w:val="0"/>
        <w:spacing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Lines="30"/>
        <w:ind w:firstLine="957" w:firstLineChars="298"/>
        <w:rPr>
          <w:rFonts w:ascii="楷体" w:hAnsi="楷体" w:eastAsia="楷体"/>
          <w:b/>
          <w:color w:val="000000" w:themeColor="text1"/>
          <w:sz w:val="32"/>
          <w:szCs w:val="32"/>
        </w:rPr>
      </w:pPr>
      <w:bookmarkStart w:id="1" w:name="Q勾选"/>
      <w:r>
        <w:rPr>
          <w:rFonts w:hint="eastAsia" w:ascii="楷体" w:hAnsi="楷体" w:eastAsia="楷体"/>
          <w:b/>
          <w:color w:val="000000" w:themeColor="text1"/>
          <w:sz w:val="32"/>
          <w:szCs w:val="32"/>
        </w:rPr>
        <w:t>■</w:t>
      </w:r>
      <w:bookmarkEnd w:id="1"/>
      <w:r>
        <w:rPr>
          <w:rFonts w:hint="eastAsia" w:ascii="楷体" w:hAnsi="楷体" w:eastAsia="楷体"/>
          <w:b/>
          <w:color w:val="000000" w:themeColor="text1"/>
          <w:sz w:val="32"/>
          <w:szCs w:val="32"/>
        </w:rPr>
        <w:t>质量管理体系（QMS）第1次监督</w:t>
      </w:r>
    </w:p>
    <w:p>
      <w:pPr>
        <w:snapToGrid w:val="0"/>
        <w:spacing w:afterLines="30"/>
        <w:ind w:firstLine="957" w:firstLineChars="298"/>
        <w:rPr>
          <w:rFonts w:ascii="楷体" w:hAnsi="楷体" w:eastAsia="楷体"/>
          <w:b/>
          <w:color w:val="000000" w:themeColor="text1"/>
          <w:sz w:val="32"/>
          <w:szCs w:val="32"/>
        </w:rPr>
      </w:pPr>
      <w:bookmarkStart w:id="2" w:name="E勾选"/>
      <w:r>
        <w:rPr>
          <w:rFonts w:hint="eastAsia" w:ascii="楷体" w:hAnsi="楷体" w:eastAsia="楷体"/>
          <w:b/>
          <w:color w:val="000000" w:themeColor="text1"/>
          <w:sz w:val="32"/>
          <w:szCs w:val="32"/>
        </w:rPr>
        <w:t>■</w:t>
      </w:r>
      <w:bookmarkEnd w:id="2"/>
      <w:r>
        <w:rPr>
          <w:rFonts w:hint="eastAsia" w:ascii="楷体" w:hAnsi="楷体" w:eastAsia="楷体"/>
          <w:b/>
          <w:color w:val="000000" w:themeColor="text1"/>
          <w:sz w:val="32"/>
          <w:szCs w:val="32"/>
        </w:rPr>
        <w:t>环境管理体系（EMS）</w:t>
      </w:r>
    </w:p>
    <w:p>
      <w:pPr>
        <w:snapToGrid w:val="0"/>
        <w:spacing w:afterLines="30"/>
        <w:ind w:firstLine="957" w:firstLineChars="298"/>
        <w:rPr>
          <w:rFonts w:ascii="楷体" w:hAnsi="楷体" w:eastAsia="楷体"/>
          <w:b/>
          <w:color w:val="000000" w:themeColor="text1"/>
          <w:sz w:val="32"/>
          <w:szCs w:val="32"/>
        </w:rPr>
      </w:pPr>
      <w:bookmarkStart w:id="3" w:name="S勾选"/>
      <w:r>
        <w:rPr>
          <w:rFonts w:hint="eastAsia" w:ascii="楷体" w:hAnsi="楷体" w:eastAsia="楷体"/>
          <w:b/>
          <w:color w:val="000000" w:themeColor="text1"/>
          <w:sz w:val="32"/>
          <w:szCs w:val="32"/>
        </w:rPr>
        <w:t>■</w:t>
      </w:r>
      <w:bookmarkEnd w:id="3"/>
      <w:r>
        <w:rPr>
          <w:rFonts w:hint="eastAsia" w:ascii="楷体" w:hAnsi="楷体" w:eastAsia="楷体"/>
          <w:b/>
          <w:color w:val="000000" w:themeColor="text1"/>
          <w:sz w:val="32"/>
          <w:szCs w:val="32"/>
        </w:rPr>
        <w:t>职业健康安全管理体系（OHSMS）</w:t>
      </w:r>
    </w:p>
    <w:p>
      <w:pPr>
        <w:snapToGrid w:val="0"/>
        <w:spacing w:afterLines="30"/>
        <w:jc w:val="center"/>
        <w:rPr>
          <w:rFonts w:ascii="楷体" w:hAnsi="楷体" w:eastAsia="楷体"/>
          <w:b/>
          <w:color w:val="000000" w:themeColor="text1"/>
          <w:sz w:val="84"/>
          <w:szCs w:val="84"/>
        </w:rPr>
      </w:pPr>
    </w:p>
    <w:p>
      <w:pPr>
        <w:snapToGrid w:val="0"/>
        <w:spacing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9"/>
          <w:rFonts w:hint="eastAsia" w:ascii="楷体" w:hAnsi="楷体" w:eastAsia="楷体"/>
          <w:b/>
          <w:sz w:val="36"/>
          <w:szCs w:val="36"/>
        </w:rPr>
        <w:t>www.china-isc.org.cn</w:t>
      </w:r>
      <w:r>
        <w:rPr>
          <w:rStyle w:val="9"/>
          <w:rFonts w:hint="eastAsia" w:ascii="楷体" w:hAnsi="楷体" w:eastAsia="楷体"/>
          <w:b/>
          <w:sz w:val="36"/>
          <w:szCs w:val="36"/>
        </w:rPr>
        <w:fldChar w:fldCharType="end"/>
      </w:r>
    </w:p>
    <w:p>
      <w:pPr>
        <w:pStyle w:val="10"/>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6"/>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34"/>
        <w:gridCol w:w="16"/>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34" w:type="dxa"/>
            <w:vAlign w:val="center"/>
          </w:tcPr>
          <w:p>
            <w:pPr>
              <w:rPr>
                <w:b/>
                <w:color w:val="000000" w:themeColor="text1"/>
                <w:sz w:val="20"/>
                <w:szCs w:val="20"/>
              </w:rPr>
            </w:pPr>
            <w:r>
              <w:rPr>
                <w:rFonts w:hint="eastAsia"/>
                <w:b/>
                <w:color w:val="000000" w:themeColor="text1"/>
                <w:sz w:val="20"/>
                <w:szCs w:val="20"/>
              </w:rPr>
              <w:t>邮箱</w:t>
            </w:r>
          </w:p>
        </w:tc>
        <w:tc>
          <w:tcPr>
            <w:tcW w:w="2349" w:type="dxa"/>
            <w:gridSpan w:val="3"/>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文平</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Q:审核员</w:t>
            </w:r>
          </w:p>
          <w:p>
            <w:pPr>
              <w:spacing w:line="240" w:lineRule="exact"/>
              <w:jc w:val="center"/>
              <w:rPr>
                <w:b/>
                <w:color w:val="000000" w:themeColor="text1"/>
                <w:sz w:val="20"/>
                <w:szCs w:val="20"/>
              </w:rPr>
            </w:pPr>
            <w:r>
              <w:rPr>
                <w:b/>
                <w:color w:val="000000" w:themeColor="text1"/>
                <w:sz w:val="20"/>
                <w:szCs w:val="20"/>
              </w:rPr>
              <w:t>E:审核员</w:t>
            </w:r>
          </w:p>
          <w:p>
            <w:pPr>
              <w:spacing w:line="240" w:lineRule="exact"/>
              <w:jc w:val="center"/>
              <w:rPr>
                <w:b/>
                <w:color w:val="000000" w:themeColor="text1"/>
                <w:sz w:val="20"/>
                <w:szCs w:val="20"/>
              </w:rPr>
            </w:pPr>
            <w:r>
              <w:rPr>
                <w:b/>
                <w:color w:val="000000" w:themeColor="text1"/>
                <w:sz w:val="20"/>
                <w:szCs w:val="20"/>
              </w:rPr>
              <w:t>O:审核员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Q:14.02.02</w:t>
            </w:r>
          </w:p>
          <w:p>
            <w:pPr>
              <w:spacing w:line="240" w:lineRule="exact"/>
              <w:jc w:val="center"/>
              <w:rPr>
                <w:b/>
                <w:color w:val="000000" w:themeColor="text1"/>
                <w:sz w:val="20"/>
                <w:szCs w:val="20"/>
              </w:rPr>
            </w:pPr>
            <w:r>
              <w:rPr>
                <w:b/>
                <w:color w:val="000000" w:themeColor="text1"/>
                <w:sz w:val="20"/>
                <w:szCs w:val="20"/>
              </w:rPr>
              <w:t>E:14.02.02</w:t>
            </w:r>
          </w:p>
          <w:p>
            <w:pPr>
              <w:spacing w:line="240" w:lineRule="exact"/>
              <w:jc w:val="center"/>
              <w:rPr>
                <w:b/>
                <w:color w:val="000000" w:themeColor="text1"/>
                <w:sz w:val="20"/>
                <w:szCs w:val="20"/>
              </w:rPr>
            </w:pPr>
            <w:r>
              <w:rPr>
                <w:b/>
                <w:color w:val="000000" w:themeColor="text1"/>
                <w:sz w:val="20"/>
                <w:szCs w:val="20"/>
              </w:rPr>
              <w:t>O:14.02.02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杨珍全</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Q:审核员</w:t>
            </w:r>
          </w:p>
          <w:p>
            <w:pPr>
              <w:spacing w:line="240" w:lineRule="exact"/>
              <w:jc w:val="center"/>
              <w:rPr>
                <w:b/>
                <w:color w:val="000000" w:themeColor="text1"/>
                <w:sz w:val="20"/>
                <w:szCs w:val="20"/>
              </w:rPr>
            </w:pPr>
            <w:r>
              <w:rPr>
                <w:b/>
                <w:color w:val="000000" w:themeColor="text1"/>
                <w:sz w:val="20"/>
                <w:szCs w:val="20"/>
              </w:rPr>
              <w:t>E:审核员</w:t>
            </w:r>
          </w:p>
          <w:p>
            <w:pPr>
              <w:spacing w:line="240" w:lineRule="exact"/>
              <w:jc w:val="center"/>
              <w:rPr>
                <w:b/>
                <w:color w:val="000000" w:themeColor="text1"/>
                <w:sz w:val="20"/>
                <w:szCs w:val="20"/>
              </w:rPr>
            </w:pPr>
            <w:r>
              <w:rPr>
                <w:b/>
                <w:color w:val="000000" w:themeColor="text1"/>
                <w:sz w:val="20"/>
                <w:szCs w:val="20"/>
              </w:rPr>
              <w:t>O:审核员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E:14.02.02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冉景洲</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Q:审核员</w:t>
            </w:r>
          </w:p>
          <w:p>
            <w:pPr>
              <w:spacing w:line="240" w:lineRule="exact"/>
              <w:jc w:val="center"/>
              <w:rPr>
                <w:b/>
                <w:color w:val="000000" w:themeColor="text1"/>
                <w:sz w:val="20"/>
                <w:szCs w:val="20"/>
              </w:rPr>
            </w:pPr>
            <w:r>
              <w:rPr>
                <w:b/>
                <w:color w:val="000000" w:themeColor="text1"/>
                <w:sz w:val="20"/>
                <w:szCs w:val="20"/>
              </w:rPr>
              <w:t>E:审核员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张心</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Q:14.02.02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0"/>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7"/>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监督审核：</w:t>
            </w:r>
          </w:p>
        </w:tc>
        <w:tc>
          <w:tcPr>
            <w:tcW w:w="7654" w:type="dxa"/>
            <w:vAlign w:val="center"/>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评价组织管理体系建立、实施运行的符合性及有效性，以确定是否保持认证注册。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0"/>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jc w:val="left"/>
        <w:rPr>
          <w:rFonts w:ascii="宋体" w:hAnsi="宋体"/>
          <w:b/>
          <w:color w:val="000000" w:themeColor="text1"/>
          <w:spacing w:val="-10"/>
          <w:sz w:val="20"/>
          <w:szCs w:val="20"/>
        </w:rPr>
      </w:pPr>
      <w:bookmarkStart w:id="4" w:name="审核依据"/>
      <w:r>
        <w:rPr>
          <w:rFonts w:hint="eastAsia" w:ascii="宋体" w:hAnsi="宋体"/>
          <w:b/>
          <w:color w:val="000000" w:themeColor="text1"/>
          <w:spacing w:val="-10"/>
          <w:sz w:val="20"/>
          <w:szCs w:val="20"/>
        </w:rPr>
        <w:t>Q：GB/T19001-2016/ISO9001:2015,E：GB/T 24001-2016/ISO14001:2015,O：GB/T45001-2020 / ISO45001：2018</w:t>
      </w:r>
      <w:bookmarkEnd w:id="4"/>
      <w:r>
        <w:rPr>
          <w:rFonts w:hint="eastAsia" w:ascii="宋体" w:hAnsi="宋体"/>
          <w:b/>
          <w:color w:val="000000" w:themeColor="text1"/>
          <w:sz w:val="26"/>
          <w:szCs w:val="26"/>
        </w:rPr>
        <w:t>四、受审核方基本信息</w:t>
      </w:r>
    </w:p>
    <w:tbl>
      <w:tblPr>
        <w:tblStyle w:val="6"/>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重庆铭弘工程塑料制品有限公司</w:t>
            </w:r>
            <w:bookmarkEnd w:id="5"/>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15</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重庆市九龙坡区白市驿镇海龙村4社</w:t>
            </w:r>
            <w:bookmarkEnd w:id="7"/>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400000</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重庆市江津区珞璜工业园B区中兴大道二路7号</w:t>
            </w:r>
            <w:bookmarkEnd w:id="9"/>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400000</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经营地址4</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张康明</w:t>
            </w:r>
            <w:bookmarkEnd w:id="11"/>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023-86175883</w:t>
            </w:r>
            <w:bookmarkEnd w:id="12"/>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13" w:name="联系人传真"/>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王琼</w:t>
            </w:r>
            <w:bookmarkEnd w:id="14"/>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张康明</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7957" w:type="dxa"/>
            <w:gridSpan w:val="14"/>
          </w:tcPr>
          <w:p>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Q：塑料包装桶的生产（需生产许可证的除外）</w:t>
            </w:r>
          </w:p>
          <w:p>
            <w:pPr>
              <w:spacing w:line="320" w:lineRule="exact"/>
              <w:rPr>
                <w:rFonts w:ascii="宋体" w:hAnsi="宋体"/>
                <w:b/>
                <w:color w:val="000000" w:themeColor="text1"/>
                <w:sz w:val="20"/>
                <w:szCs w:val="20"/>
              </w:rPr>
            </w:pPr>
            <w:r>
              <w:rPr>
                <w:rFonts w:ascii="宋体" w:hAnsi="宋体"/>
                <w:b/>
                <w:color w:val="000000" w:themeColor="text1"/>
                <w:sz w:val="20"/>
                <w:szCs w:val="20"/>
              </w:rPr>
              <w:t>E：塑料包装桶的生产（需生产许可证的除外）所涉及场所的相关环境管理活动</w:t>
            </w:r>
          </w:p>
          <w:p>
            <w:pPr>
              <w:spacing w:line="320" w:lineRule="exact"/>
              <w:rPr>
                <w:rFonts w:ascii="宋体" w:hAnsi="宋体"/>
                <w:b/>
                <w:color w:val="000000" w:themeColor="text1"/>
                <w:sz w:val="20"/>
                <w:szCs w:val="20"/>
              </w:rPr>
            </w:pPr>
            <w:r>
              <w:rPr>
                <w:rFonts w:ascii="宋体" w:hAnsi="宋体"/>
                <w:b/>
                <w:color w:val="000000" w:themeColor="text1"/>
                <w:sz w:val="20"/>
                <w:szCs w:val="20"/>
              </w:rPr>
              <w:t>O：塑料包装桶的生产（需生产许可证的除外）所涉及场所的相关职业健康安全管理活动</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Q：14.02.02</w:t>
            </w:r>
          </w:p>
          <w:p>
            <w:pPr>
              <w:spacing w:line="320" w:lineRule="exact"/>
              <w:rPr>
                <w:rFonts w:ascii="宋体" w:hAnsi="宋体"/>
                <w:b/>
                <w:color w:val="000000" w:themeColor="text1"/>
                <w:sz w:val="20"/>
                <w:szCs w:val="20"/>
              </w:rPr>
            </w:pPr>
            <w:r>
              <w:rPr>
                <w:rFonts w:ascii="宋体" w:hAnsi="宋体"/>
                <w:b/>
                <w:color w:val="000000" w:themeColor="text1"/>
                <w:sz w:val="20"/>
                <w:szCs w:val="20"/>
              </w:rPr>
              <w:t>E：14.02.02</w:t>
            </w:r>
          </w:p>
          <w:p>
            <w:pPr>
              <w:spacing w:line="320" w:lineRule="exact"/>
              <w:rPr>
                <w:rFonts w:ascii="宋体" w:hAnsi="宋体"/>
                <w:b/>
                <w:color w:val="000000" w:themeColor="text1"/>
                <w:sz w:val="20"/>
                <w:szCs w:val="20"/>
              </w:rPr>
            </w:pPr>
            <w:r>
              <w:rPr>
                <w:rFonts w:ascii="宋体" w:hAnsi="宋体"/>
                <w:b/>
                <w:color w:val="000000" w:themeColor="text1"/>
                <w:sz w:val="20"/>
                <w:szCs w:val="20"/>
              </w:rPr>
              <w:t>O：14.02.02</w:t>
            </w:r>
            <w:bookmarkEnd w:id="18"/>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19" w:name="体系运行时间"/>
            <w:r>
              <w:rPr>
                <w:rFonts w:ascii="宋体" w:hAnsi="宋体"/>
                <w:b/>
                <w:color w:val="000000" w:themeColor="text1"/>
                <w:sz w:val="20"/>
                <w:szCs w:val="20"/>
              </w:rPr>
              <w:t>2018-06-01 0:00:00</w:t>
            </w:r>
            <w:bookmarkEnd w:id="19"/>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widowControl/>
              <w:jc w:val="left"/>
              <w:rPr>
                <w:rFonts w:ascii="宋体" w:hAnsi="宋体"/>
                <w:b/>
                <w:color w:val="000000" w:themeColor="text1"/>
                <w:spacing w:val="-20"/>
                <w:sz w:val="20"/>
                <w:szCs w:val="20"/>
              </w:rPr>
            </w:pP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snapToGrid w:val="0"/>
        <w:spacing w:afterLines="30"/>
        <w:jc w:val="center"/>
        <w:rPr>
          <w:rFonts w:ascii="楷体" w:hAnsi="楷体" w:eastAsia="楷体"/>
          <w:b/>
          <w:color w:val="000000" w:themeColor="text1"/>
          <w:sz w:val="28"/>
          <w:szCs w:val="28"/>
        </w:rPr>
      </w:pPr>
    </w:p>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7"/>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r>
              <w:rPr>
                <w:rFonts w:hint="eastAsia" w:ascii="宋体" w:hAnsi="宋体"/>
                <w:b/>
                <w:color w:val="000000" w:themeColor="text1"/>
                <w:sz w:val="20"/>
                <w:szCs w:val="20"/>
              </w:rPr>
              <w:t>行政部</w:t>
            </w:r>
          </w:p>
        </w:tc>
        <w:tc>
          <w:tcPr>
            <w:tcW w:w="6804" w:type="dxa"/>
          </w:tcPr>
          <w:p>
            <w:pPr>
              <w:jc w:val="left"/>
              <w:rPr>
                <w:rFonts w:ascii="宋体" w:hAnsi="宋体"/>
                <w:b/>
                <w:color w:val="000000" w:themeColor="text1"/>
                <w:spacing w:val="-20"/>
                <w:sz w:val="20"/>
                <w:szCs w:val="20"/>
                <w:u w:val="single"/>
              </w:rPr>
            </w:pPr>
            <w:r>
              <w:rPr>
                <w:rFonts w:hint="eastAsia" w:ascii="宋体" w:hAnsi="宋体"/>
                <w:b/>
                <w:color w:val="000000" w:themeColor="text1"/>
                <w:sz w:val="20"/>
                <w:szCs w:val="20"/>
              </w:rPr>
              <w:t>方针、目标管理；文件、记录控制程；管理评审；内审管理；人员、部门职能职责和权限；风险识别评价管理；环境因素识别评价管理；合同管理；外部供方管理；。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r>
              <w:rPr>
                <w:rFonts w:hint="eastAsia" w:ascii="宋体" w:hAnsi="宋体"/>
                <w:b/>
                <w:color w:val="000000" w:themeColor="text1"/>
                <w:sz w:val="20"/>
                <w:szCs w:val="20"/>
              </w:rPr>
              <w:t>生产部</w:t>
            </w:r>
          </w:p>
        </w:tc>
        <w:tc>
          <w:tcPr>
            <w:tcW w:w="6804" w:type="dxa"/>
          </w:tcPr>
          <w:p>
            <w:pPr>
              <w:jc w:val="left"/>
              <w:rPr>
                <w:rFonts w:ascii="宋体" w:hAnsi="宋体"/>
                <w:b/>
                <w:color w:val="000000" w:themeColor="text1"/>
                <w:spacing w:val="-20"/>
                <w:sz w:val="20"/>
                <w:szCs w:val="20"/>
                <w:u w:val="single"/>
              </w:rPr>
            </w:pPr>
            <w:r>
              <w:rPr>
                <w:rFonts w:hint="eastAsia" w:ascii="宋体" w:hAnsi="宋体"/>
                <w:b/>
                <w:color w:val="000000" w:themeColor="text1"/>
                <w:sz w:val="20"/>
                <w:szCs w:val="20"/>
              </w:rPr>
              <w:t>不合格品控制；纠正和预防措施控制；策划管理；过程监控管理；产品验收管理；监视和测量设备管理；服务过程管理；设备设施管理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6804" w:type="dxa"/>
          </w:tcPr>
          <w:p>
            <w:pPr>
              <w:jc w:val="left"/>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rPr>
                <w:rFonts w:ascii="宋体" w:hAnsi="宋体"/>
                <w:b/>
                <w:color w:val="000000" w:themeColor="text1"/>
                <w:szCs w:val="21"/>
              </w:rPr>
            </w:pPr>
          </w:p>
        </w:tc>
        <w:tc>
          <w:tcPr>
            <w:tcW w:w="6804" w:type="dxa"/>
          </w:tcPr>
          <w:p>
            <w:pPr>
              <w:rPr>
                <w:rFonts w:ascii="宋体" w:hAnsi="宋体"/>
                <w:b/>
                <w:color w:val="000000" w:themeColor="text1"/>
                <w:spacing w:val="-20"/>
                <w:szCs w:val="21"/>
                <w:u w:val="single"/>
              </w:rPr>
            </w:pP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7"/>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69" w:leftChars="-337" w:hanging="539" w:hangingChars="271"/>
        <w:rPr>
          <w:rFonts w:hAnsi="宋体"/>
          <w:b/>
          <w:color w:val="000000" w:themeColor="text1"/>
          <w:spacing w:val="-6"/>
          <w:szCs w:val="21"/>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p>
      <w:pPr>
        <w:ind w:left="-137" w:leftChars="-337" w:hanging="571" w:hangingChars="271"/>
        <w:rPr>
          <w:b/>
          <w:color w:val="000000" w:themeColor="text1"/>
          <w:szCs w:val="21"/>
          <w:u w:val="single"/>
        </w:rPr>
      </w:pPr>
    </w:p>
    <w:tbl>
      <w:tblPr>
        <w:tblStyle w:val="7"/>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519"/>
        <w:gridCol w:w="1843"/>
        <w:gridCol w:w="3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30"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2519" w:type="dxa"/>
          </w:tcPr>
          <w:p>
            <w:pPr>
              <w:rPr>
                <w:b/>
                <w:color w:val="000000" w:themeColor="text1"/>
                <w:sz w:val="20"/>
                <w:szCs w:val="20"/>
              </w:rPr>
            </w:pPr>
            <w:r>
              <w:rPr>
                <w:rFonts w:hint="eastAsia"/>
                <w:b/>
                <w:color w:val="000000" w:themeColor="text1"/>
                <w:sz w:val="20"/>
                <w:szCs w:val="20"/>
              </w:rPr>
              <w:t>型号/</w:t>
            </w:r>
          </w:p>
          <w:p>
            <w:pPr>
              <w:rPr>
                <w:b/>
                <w:color w:val="000000" w:themeColor="text1"/>
                <w:sz w:val="20"/>
                <w:szCs w:val="20"/>
              </w:rPr>
            </w:pPr>
            <w:r>
              <w:rPr>
                <w:rFonts w:hint="eastAsia"/>
                <w:b/>
                <w:color w:val="000000" w:themeColor="text1"/>
                <w:sz w:val="20"/>
                <w:szCs w:val="20"/>
              </w:rPr>
              <w:t>服务类型</w:t>
            </w:r>
          </w:p>
        </w:tc>
        <w:tc>
          <w:tcPr>
            <w:tcW w:w="1843" w:type="dxa"/>
          </w:tcPr>
          <w:p>
            <w:pPr>
              <w:rPr>
                <w:b/>
                <w:color w:val="000000" w:themeColor="text1"/>
                <w:sz w:val="20"/>
                <w:szCs w:val="20"/>
              </w:rPr>
            </w:pPr>
            <w:r>
              <w:rPr>
                <w:rFonts w:hint="eastAsia"/>
                <w:b/>
                <w:color w:val="000000" w:themeColor="text1"/>
                <w:sz w:val="20"/>
                <w:szCs w:val="20"/>
              </w:rPr>
              <w:t>规格</w:t>
            </w:r>
          </w:p>
        </w:tc>
        <w:tc>
          <w:tcPr>
            <w:tcW w:w="3543"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spacing w:line="400" w:lineRule="exact"/>
              <w:rPr>
                <w:color w:val="333333"/>
              </w:rPr>
            </w:pPr>
            <w:r>
              <w:rPr>
                <w:rFonts w:hint="eastAsia"/>
                <w:color w:val="333333"/>
              </w:rPr>
              <w:t>塑料包装桶</w:t>
            </w:r>
          </w:p>
        </w:tc>
        <w:tc>
          <w:tcPr>
            <w:tcW w:w="2519" w:type="dxa"/>
          </w:tcPr>
          <w:p>
            <w:pPr>
              <w:rPr>
                <w:b/>
                <w:color w:val="000000" w:themeColor="text1"/>
                <w:sz w:val="20"/>
                <w:szCs w:val="20"/>
              </w:rPr>
            </w:pPr>
            <w:r>
              <w:rPr>
                <w:rFonts w:hint="eastAsia"/>
                <w:b/>
                <w:color w:val="000000" w:themeColor="text1"/>
                <w:sz w:val="20"/>
                <w:szCs w:val="20"/>
              </w:rPr>
              <w:t>产品</w:t>
            </w:r>
          </w:p>
        </w:tc>
        <w:tc>
          <w:tcPr>
            <w:tcW w:w="1843" w:type="dxa"/>
          </w:tcPr>
          <w:p>
            <w:pPr>
              <w:rPr>
                <w:b/>
                <w:color w:val="000000" w:themeColor="text1"/>
                <w:sz w:val="20"/>
                <w:szCs w:val="20"/>
              </w:rPr>
            </w:pPr>
          </w:p>
        </w:tc>
        <w:tc>
          <w:tcPr>
            <w:tcW w:w="3543" w:type="dxa"/>
          </w:tcPr>
          <w:p>
            <w:pPr>
              <w:rPr>
                <w:b/>
                <w:color w:val="000000" w:themeColor="text1"/>
                <w:sz w:val="20"/>
                <w:szCs w:val="20"/>
              </w:rPr>
            </w:pPr>
            <w:r>
              <w:rPr>
                <w:rFonts w:hint="eastAsia" w:ascii="宋体" w:hAnsi="宋体" w:cs="宋体"/>
                <w:szCs w:val="21"/>
              </w:rPr>
              <w:t>塑料制品的标志GB/T 16288-2008、《中石化股份有限公司润滑油分公司吹塑桶标准》等标准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spacing w:line="400" w:lineRule="exact"/>
              <w:rPr>
                <w:color w:val="333333"/>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bl>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p>
    <w:p>
      <w:pPr>
        <w:spacing w:line="360" w:lineRule="auto"/>
        <w:ind w:left="-139" w:leftChars="-337" w:hanging="569" w:hangingChars="271"/>
        <w:rPr>
          <w:b/>
          <w:color w:val="000000" w:themeColor="text1"/>
          <w:spacing w:val="-10"/>
          <w:szCs w:val="21"/>
        </w:rPr>
      </w:pPr>
      <w:r>
        <w:rPr>
          <w:rFonts w:hint="eastAsia" w:ascii="宋体" w:hAnsi="宋体"/>
        </w:rPr>
        <w:t>■</w:t>
      </w:r>
      <w:r>
        <w:rPr>
          <w:rFonts w:hint="eastAsia"/>
          <w:b/>
          <w:color w:val="000000" w:themeColor="text1"/>
          <w:spacing w:val="-10"/>
          <w:szCs w:val="21"/>
        </w:rPr>
        <w:t xml:space="preserve"> 体系运行时间</w:t>
      </w:r>
      <w:r>
        <w:rPr>
          <w:rFonts w:hint="eastAsia"/>
          <w:b/>
          <w:color w:val="000000" w:themeColor="text1"/>
          <w:spacing w:val="-10"/>
          <w:szCs w:val="21"/>
          <w:u w:val="single"/>
        </w:rPr>
        <w:t xml:space="preserve"> 2020 </w:t>
      </w:r>
      <w:r>
        <w:rPr>
          <w:rFonts w:hint="eastAsia"/>
          <w:b/>
          <w:color w:val="000000" w:themeColor="text1"/>
          <w:spacing w:val="-10"/>
          <w:szCs w:val="21"/>
        </w:rPr>
        <w:t>年5月</w:t>
      </w:r>
      <w:bookmarkStart w:id="20" w:name="OLE_LINK1"/>
      <w:r>
        <w:rPr>
          <w:rFonts w:hint="eastAsia"/>
          <w:b/>
          <w:color w:val="000000" w:themeColor="text1"/>
          <w:spacing w:val="-10"/>
          <w:szCs w:val="21"/>
        </w:rPr>
        <w:t>21日</w:t>
      </w:r>
      <w:bookmarkEnd w:id="20"/>
      <w:r>
        <w:rPr>
          <w:rFonts w:hint="eastAsia"/>
          <w:b/>
          <w:color w:val="000000" w:themeColor="text1"/>
          <w:spacing w:val="-10"/>
          <w:szCs w:val="21"/>
        </w:rPr>
        <w:t>至</w:t>
      </w:r>
      <w:r>
        <w:rPr>
          <w:rFonts w:hint="eastAsia"/>
          <w:b/>
          <w:color w:val="000000" w:themeColor="text1"/>
          <w:spacing w:val="-10"/>
          <w:szCs w:val="21"/>
          <w:u w:val="single"/>
        </w:rPr>
        <w:t xml:space="preserve">  2021</w:t>
      </w:r>
      <w:r>
        <w:rPr>
          <w:rFonts w:hint="eastAsia"/>
          <w:b/>
          <w:color w:val="000000" w:themeColor="text1"/>
          <w:spacing w:val="-10"/>
          <w:szCs w:val="21"/>
        </w:rPr>
        <w:t>年5月31日。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39" w:leftChars="-337" w:hanging="569" w:hangingChars="271"/>
        <w:rPr>
          <w:b/>
          <w:color w:val="000000" w:themeColor="text1"/>
          <w:spacing w:val="-10"/>
          <w:szCs w:val="21"/>
        </w:rPr>
      </w:pPr>
      <w:r>
        <w:rPr>
          <w:rFonts w:hint="eastAsia" w:ascii="宋体" w:hAnsi="宋体"/>
        </w:rPr>
        <w:t>■</w:t>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beforeLines="100" w:line="320" w:lineRule="exact"/>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6"/>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5"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spacing w:line="240" w:lineRule="exact"/>
              <w:rPr>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p>
          <w:p>
            <w:pPr>
              <w:spacing w:line="240" w:lineRule="exact"/>
              <w:rPr>
                <w:b/>
                <w:color w:val="000000" w:themeColor="text1"/>
                <w:sz w:val="20"/>
                <w:szCs w:val="20"/>
              </w:rPr>
            </w:pPr>
            <w:r>
              <w:rPr>
                <w:rFonts w:hint="eastAsia" w:ascii="宋体" w:hAnsi="宋体"/>
                <w:color w:val="000000" w:themeColor="text1"/>
              </w:rPr>
              <w:t>组织对内外部因素、相关方需求和期望进行了充分的识别，策划和实施有效。组织确定了体系的边界，基本适用。管理体系全条款适用</w:t>
            </w:r>
            <w:r>
              <w:rPr>
                <w:rFonts w:hint="eastAsia" w:ascii="华文楷体" w:hAnsi="华文楷体" w:eastAsia="华文楷体"/>
                <w:bCs/>
                <w:i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sz w:val="20"/>
                <w:szCs w:val="20"/>
              </w:rPr>
            </w:pPr>
            <w:r>
              <w:rPr>
                <w:b/>
                <w:color w:val="000000" w:themeColor="text1"/>
                <w:sz w:val="20"/>
                <w:szCs w:val="20"/>
              </w:rPr>
              <w:t>2、</w:t>
            </w:r>
            <w:r>
              <w:rPr>
                <w:rFonts w:hint="eastAsia"/>
                <w:b/>
                <w:color w:val="000000" w:themeColor="text1"/>
                <w:sz w:val="20"/>
                <w:szCs w:val="20"/>
              </w:rPr>
              <w:t>相关方需求和期望识别情况</w:t>
            </w:r>
          </w:p>
          <w:p>
            <w:pPr>
              <w:spacing w:line="240" w:lineRule="exact"/>
              <w:rPr>
                <w:b/>
                <w:color w:val="000000" w:themeColor="text1"/>
                <w:sz w:val="20"/>
                <w:szCs w:val="20"/>
              </w:rPr>
            </w:pPr>
            <w:r>
              <w:rPr>
                <w:rFonts w:hint="eastAsia" w:ascii="宋体" w:hAnsi="宋体" w:cs="宋体"/>
                <w:color w:val="000000"/>
                <w:szCs w:val="21"/>
              </w:rPr>
              <w:t>公司确定的相关方有员工、股东、银行、主管部门、供应商、客户等。理解员工诉求的形式为面谈、茶话会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4"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z w:val="20"/>
                <w:szCs w:val="20"/>
              </w:rPr>
              <w:t>■</w:t>
            </w:r>
            <w:r>
              <w:rPr>
                <w:rFonts w:hint="eastAsia" w:ascii="宋体" w:hAnsi="宋体"/>
                <w:b/>
                <w:color w:val="000000" w:themeColor="text1"/>
                <w:sz w:val="20"/>
                <w:szCs w:val="20"/>
              </w:rPr>
              <w:t>质量/■环境/■职业健康安全方针（组织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jc w:val="left"/>
              <w:rPr>
                <w:rFonts w:ascii="宋体" w:hAnsi="宋体" w:cs="宋体"/>
                <w:szCs w:val="21"/>
              </w:rPr>
            </w:pPr>
            <w:r>
              <w:rPr>
                <w:rFonts w:hint="eastAsia" w:ascii="宋体" w:hAnsi="宋体"/>
                <w:color w:val="000000" w:themeColor="text1"/>
              </w:rPr>
              <w:t>最高管理者组织制定了方针：现行的管理方针在管理手册有专门的释议，具备适宜性。通过会议、张贴等方式进行传达宣贯，管理绩效表明其方针能够通过管理体系加以有效实施、实现及动态管理，实际未发生变更。</w:t>
            </w:r>
            <w:r>
              <w:rPr>
                <w:rFonts w:hint="eastAsia" w:ascii="宋体" w:hAnsi="宋体" w:cs="宋体"/>
                <w:szCs w:val="21"/>
              </w:rPr>
              <w:t xml:space="preserve">质量、环境、职业健康安全管理方针： </w:t>
            </w:r>
          </w:p>
          <w:p>
            <w:pPr>
              <w:jc w:val="left"/>
              <w:rPr>
                <w:b/>
                <w:color w:val="000000" w:themeColor="text1"/>
              </w:rPr>
            </w:pPr>
            <w:r>
              <w:rPr>
                <w:rFonts w:hint="eastAsia" w:ascii="宋体" w:hAnsi="宋体" w:cs="宋体"/>
                <w:szCs w:val="21"/>
              </w:rPr>
              <w:t>“</w:t>
            </w:r>
            <w:r>
              <w:rPr>
                <w:rFonts w:hint="eastAsia" w:ascii="宋体" w:hAnsi="宋体"/>
                <w:szCs w:val="21"/>
              </w:rPr>
              <w:t>科技兴企、以质取胜；综合管理、遵章守纪；防治结合、保障安全；顾客满意、持续改进</w:t>
            </w:r>
            <w:r>
              <w:rPr>
                <w:rFonts w:hint="eastAsia" w:ascii="宋体" w:hAnsi="宋体"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rPr>
            </w:pPr>
            <w:r>
              <w:rPr>
                <w:b/>
                <w:color w:val="000000" w:themeColor="text1"/>
              </w:rPr>
              <w:t>4、</w:t>
            </w:r>
            <w:r>
              <w:rPr>
                <w:rFonts w:hint="eastAsia"/>
                <w:b/>
                <w:color w:val="000000" w:themeColor="text1"/>
              </w:rPr>
              <w:t>风险识别与控制策划（QMS）</w:t>
            </w:r>
          </w:p>
          <w:p>
            <w:pPr>
              <w:spacing w:line="240" w:lineRule="exact"/>
              <w:ind w:firstLine="210" w:firstLineChars="100"/>
              <w:rPr>
                <w:rFonts w:ascii="宋体" w:hAnsi="宋体"/>
                <w:color w:val="000000" w:themeColor="text1"/>
              </w:rPr>
            </w:pPr>
            <w:r>
              <w:rPr>
                <w:rFonts w:hint="eastAsia" w:ascii="宋体" w:hAnsi="宋体"/>
                <w:color w:val="000000" w:themeColor="text1"/>
              </w:rPr>
              <w:t>制定并实施了相关程序和安全生产管理制度</w:t>
            </w:r>
            <w:r>
              <w:rPr>
                <w:rFonts w:ascii="宋体" w:hAnsi="宋体"/>
                <w:color w:val="000000" w:themeColor="text1"/>
              </w:rPr>
              <w:t>，</w:t>
            </w:r>
            <w:r>
              <w:rPr>
                <w:rFonts w:hint="eastAsia" w:ascii="宋体" w:hAnsi="宋体"/>
                <w:color w:val="000000" w:themeColor="text1"/>
              </w:rPr>
              <w:t>服务过程包括策划、准备、实施、支持服务等。这些过程的主要活动、顺序或相互关系、相关管理作业指导书的规定基本适宜、充分、有效、详细，相关过程的策划良好，实施有序，控制基本有效。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rPr>
              <w:t>过程</w:t>
            </w:r>
          </w:p>
          <w:p>
            <w:pPr>
              <w:tabs>
                <w:tab w:val="left" w:pos="540"/>
              </w:tabs>
              <w:spacing w:line="300" w:lineRule="exact"/>
              <w:ind w:left="201" w:hanging="201" w:hangingChars="100"/>
              <w:rPr>
                <w:rFonts w:ascii="宋体" w:hAnsi="宋体"/>
                <w:b/>
                <w:color w:val="000000" w:themeColor="text1"/>
                <w:sz w:val="20"/>
                <w:szCs w:val="20"/>
              </w:rPr>
            </w:pPr>
            <w:r>
              <w:rPr>
                <w:rFonts w:hint="eastAsia" w:ascii="宋体" w:hAnsi="宋体"/>
                <w:b/>
                <w:color w:val="000000" w:themeColor="text1"/>
                <w:sz w:val="20"/>
                <w:szCs w:val="20"/>
              </w:rPr>
              <w:t>质量管理体系过程有：产品生产、合同评审、产品检验过程。</w:t>
            </w:r>
          </w:p>
          <w:p>
            <w:pPr>
              <w:tabs>
                <w:tab w:val="left" w:pos="540"/>
              </w:tabs>
              <w:spacing w:line="300" w:lineRule="exact"/>
              <w:ind w:left="201" w:hanging="201" w:hangingChars="100"/>
              <w:rPr>
                <w:rFonts w:ascii="宋体" w:hAnsi="宋体"/>
                <w:b/>
                <w:color w:val="000000" w:themeColor="text1"/>
                <w:sz w:val="20"/>
                <w:szCs w:val="20"/>
              </w:rPr>
            </w:pPr>
            <w:r>
              <w:rPr>
                <w:rFonts w:hint="eastAsia" w:ascii="宋体" w:hAnsi="宋体"/>
                <w:b/>
                <w:color w:val="000000" w:themeColor="text1"/>
                <w:sz w:val="20"/>
                <w:szCs w:val="20"/>
              </w:rPr>
              <w:t>其中关键过程有：</w:t>
            </w:r>
            <w:r>
              <w:rPr>
                <w:rFonts w:hint="eastAsia"/>
                <w:szCs w:val="21"/>
              </w:rPr>
              <w:t>熔融、挤出</w:t>
            </w:r>
            <w:r>
              <w:rPr>
                <w:rFonts w:hint="eastAsia" w:ascii="宋体" w:hAnsi="宋体"/>
                <w:szCs w:val="21"/>
              </w:rPr>
              <w:t>过程</w:t>
            </w:r>
            <w:r>
              <w:rPr>
                <w:rFonts w:hint="eastAsia" w:ascii="宋体" w:hAnsi="宋体"/>
                <w:b/>
                <w:color w:val="000000" w:themeColor="text1"/>
                <w:sz w:val="20"/>
                <w:szCs w:val="20"/>
              </w:rPr>
              <w:t>。</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需要确认过程：</w:t>
            </w:r>
            <w:r>
              <w:rPr>
                <w:rFonts w:hint="eastAsia"/>
                <w:szCs w:val="21"/>
              </w:rPr>
              <w:t>吹塑、挤出</w:t>
            </w:r>
            <w:r>
              <w:rPr>
                <w:rFonts w:hint="eastAsia" w:ascii="宋体" w:hAnsi="宋体"/>
                <w:szCs w:val="21"/>
              </w:rPr>
              <w:t>过程</w:t>
            </w:r>
          </w:p>
          <w:p>
            <w:pPr>
              <w:tabs>
                <w:tab w:val="left" w:pos="540"/>
              </w:tabs>
              <w:spacing w:line="300" w:lineRule="exact"/>
              <w:ind w:left="211" w:hanging="211" w:hangingChars="100"/>
              <w:rPr>
                <w:rFonts w:ascii="宋体" w:hAnsi="宋体"/>
                <w:b/>
                <w:color w:val="000000" w:themeColor="text1"/>
                <w:szCs w:val="21"/>
              </w:rPr>
            </w:pPr>
            <w:r>
              <w:rPr>
                <w:rFonts w:hint="eastAsia" w:ascii="宋体" w:hAnsi="宋体"/>
                <w:b/>
                <w:szCs w:val="21"/>
              </w:rPr>
              <w:t>删减条款是，8.3      删减理由：</w:t>
            </w:r>
            <w:r>
              <w:rPr>
                <w:rFonts w:hint="eastAsia" w:ascii="宋体" w:hAnsi="宋体"/>
                <w:szCs w:val="21"/>
              </w:rPr>
              <w:t>公司所生产的</w:t>
            </w:r>
            <w:r>
              <w:rPr>
                <w:rFonts w:hint="eastAsia"/>
                <w:bCs/>
                <w:szCs w:val="21"/>
              </w:rPr>
              <w:t>塑料包装桶</w:t>
            </w:r>
            <w:r>
              <w:rPr>
                <w:rFonts w:hint="eastAsia" w:ascii="宋体" w:hAnsi="宋体"/>
                <w:szCs w:val="21"/>
              </w:rPr>
              <w:t>，按客户要求及相关产品标准进行生产，工艺成熟。整个生产过程不涉及设计新产品的内容，故8.3不适用。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spacing w:line="300" w:lineRule="exact"/>
              <w:ind w:firstLine="315" w:firstLineChars="150"/>
              <w:rPr>
                <w:rFonts w:asciiTheme="minorEastAsia" w:hAnsiTheme="minorEastAsia" w:eastAsiaTheme="minorEastAsia"/>
                <w:b/>
                <w:color w:val="000000" w:themeColor="text1"/>
                <w:sz w:val="20"/>
                <w:szCs w:val="20"/>
              </w:rPr>
            </w:pPr>
            <w:r>
              <w:rPr>
                <w:rFonts w:hint="eastAsia" w:asciiTheme="minorEastAsia" w:hAnsiTheme="minorEastAsia" w:eastAsiaTheme="minorEastAsia"/>
                <w:bCs/>
                <w:iCs/>
              </w:rPr>
              <w:t>组织建立了环境因素识别、评价控制程序，识别评价了环境因素、风险相关的过程。建立了控制过程的识别、策划控制程序，控制措施实施有效性（包括组织自身的污染预防控制及对相关方的控制）；组织在运行策划时，基于产品生命周期的思维，识别了整个过程的环境影响。具体控制措施，包括：固废的控制、潜在火灾的应急预案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3"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hint="eastAsia" w:ascii="宋体" w:hAnsi="宋体"/>
                <w:b/>
                <w:color w:val="000000" w:themeColor="text1"/>
                <w:spacing w:val="-12"/>
                <w:sz w:val="20"/>
                <w:szCs w:val="20"/>
              </w:rPr>
              <w:t>职业健康安全危险源</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职业健康安全危险源</w:t>
            </w:r>
            <w:r>
              <w:rPr>
                <w:rFonts w:hint="eastAsia" w:ascii="宋体" w:hAnsi="宋体"/>
                <w:b/>
                <w:color w:val="000000" w:themeColor="text1"/>
                <w:sz w:val="20"/>
                <w:szCs w:val="20"/>
              </w:rPr>
              <w:t>辨识是否充分、风险评价合理性，</w:t>
            </w:r>
            <w:r>
              <w:rPr>
                <w:rFonts w:hint="eastAsia" w:ascii="宋体" w:hAnsi="宋体"/>
                <w:b/>
                <w:color w:val="000000" w:themeColor="text1"/>
                <w:spacing w:val="-8"/>
                <w:sz w:val="20"/>
                <w:szCs w:val="20"/>
              </w:rPr>
              <w:t>以及风险评价动态变更的及时性等）</w:t>
            </w:r>
          </w:p>
          <w:p>
            <w:pPr>
              <w:spacing w:line="300" w:lineRule="exact"/>
              <w:ind w:firstLine="420" w:firstLineChars="200"/>
              <w:rPr>
                <w:rFonts w:ascii="宋体" w:hAnsi="宋体"/>
                <w:b/>
                <w:color w:val="000000" w:themeColor="text1"/>
                <w:spacing w:val="-8"/>
                <w:sz w:val="20"/>
                <w:szCs w:val="20"/>
              </w:rPr>
            </w:pPr>
            <w:r>
              <w:rPr>
                <w:rFonts w:hint="eastAsia" w:ascii="宋体" w:hAnsi="宋体"/>
                <w:color w:val="000000" w:themeColor="text1"/>
              </w:rPr>
              <w:t>组织建立了危险源识别、评价控制程序，识别评价了危险源、风险相关的过程，评价出了重要危险源（火灾、触电、机械伤害），与之相关的过程有安装，针对重要危险源制定了管理方案。控制措施实施有效。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pacing w:val="-4"/>
                <w:szCs w:val="21"/>
              </w:rPr>
            </w:pPr>
            <w:r>
              <w:rPr>
                <w:rFonts w:hint="eastAsia"/>
                <w:b/>
                <w:color w:val="000000" w:themeColor="text1"/>
                <w:szCs w:val="21"/>
              </w:rPr>
              <w:t xml:space="preserve">8. </w:t>
            </w:r>
            <w:r>
              <w:rPr>
                <w:rFonts w:hint="eastAsia" w:ascii="宋体" w:hAnsi="宋体"/>
                <w:b/>
                <w:color w:val="000000" w:themeColor="text1"/>
                <w:spacing w:val="-4"/>
                <w:szCs w:val="21"/>
              </w:rPr>
              <w:t>法律法规及其他要求</w:t>
            </w:r>
          </w:p>
          <w:p>
            <w:pPr>
              <w:tabs>
                <w:tab w:val="left" w:pos="540"/>
              </w:tabs>
              <w:spacing w:line="300" w:lineRule="exact"/>
              <w:ind w:left="211" w:hanging="211" w:hangingChars="100"/>
              <w:rPr>
                <w:rFonts w:ascii="宋体" w:hAnsi="宋体"/>
                <w:b/>
                <w:color w:val="000000" w:themeColor="text1"/>
                <w:szCs w:val="21"/>
              </w:rPr>
            </w:pPr>
          </w:p>
          <w:p>
            <w:pPr>
              <w:pStyle w:val="10"/>
              <w:numPr>
                <w:ilvl w:val="0"/>
                <w:numId w:val="2"/>
              </w:numPr>
              <w:tabs>
                <w:tab w:val="left" w:pos="540"/>
              </w:tabs>
              <w:spacing w:line="300" w:lineRule="exact"/>
              <w:ind w:firstLineChars="0"/>
              <w:rPr>
                <w:rFonts w:ascii="宋体" w:hAnsi="宋体"/>
                <w:b/>
                <w:color w:val="000000" w:themeColor="text1"/>
                <w:szCs w:val="21"/>
                <w:u w:val="single"/>
              </w:rPr>
            </w:pPr>
            <w:r>
              <w:rPr>
                <w:rFonts w:hint="eastAsia" w:ascii="宋体" w:hAnsi="宋体"/>
                <w:b/>
                <w:color w:val="000000" w:themeColor="text1"/>
                <w:szCs w:val="21"/>
              </w:rPr>
              <w:t>获取法律法规项，■法律法规获取充分，□法律法规获取有遗漏，缺少</w:t>
            </w:r>
          </w:p>
          <w:p>
            <w:pPr>
              <w:pStyle w:val="10"/>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结合公司的■产品/服务■环境因素■危险源，■确定 □未确定法律法规要求的具体条款，</w:t>
            </w:r>
          </w:p>
          <w:p>
            <w:pPr>
              <w:pStyle w:val="10"/>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法律法规的宣传方式：培训、会议、张贴。</w:t>
            </w:r>
          </w:p>
          <w:p>
            <w:pPr>
              <w:pStyle w:val="10"/>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法律法规要求及时更新了</w:t>
            </w:r>
          </w:p>
          <w:p>
            <w:pPr>
              <w:tabs>
                <w:tab w:val="left" w:pos="0"/>
              </w:tabs>
              <w:spacing w:line="240" w:lineRule="exact"/>
              <w:rPr>
                <w:b/>
                <w:color w:val="000000" w:themeColor="text1"/>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Cs w:val="21"/>
              </w:rPr>
            </w:pPr>
            <w:r>
              <w:rPr>
                <w:rFonts w:hint="eastAsia"/>
                <w:b/>
                <w:color w:val="000000" w:themeColor="text1"/>
                <w:szCs w:val="21"/>
              </w:rPr>
              <w:t xml:space="preserve">9. </w:t>
            </w:r>
            <w:r>
              <w:rPr>
                <w:rFonts w:hint="eastAsia" w:ascii="宋体" w:hAnsi="宋体"/>
                <w:b/>
                <w:color w:val="000000" w:themeColor="text1"/>
                <w:szCs w:val="21"/>
              </w:rPr>
              <w:t>目标、方案</w:t>
            </w:r>
          </w:p>
          <w:p>
            <w:pPr>
              <w:spacing w:line="300" w:lineRule="exact"/>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spacing w:line="300" w:lineRule="exact"/>
              <w:ind w:firstLine="420" w:firstLineChars="200"/>
              <w:rPr>
                <w:rFonts w:ascii="宋体" w:hAnsi="宋体"/>
                <w:b/>
                <w:color w:val="000000" w:themeColor="text1"/>
                <w:sz w:val="20"/>
                <w:szCs w:val="20"/>
              </w:rPr>
            </w:pPr>
            <w:r>
              <w:rPr>
                <w:rFonts w:hint="eastAsia" w:ascii="宋体" w:hAnsi="宋体" w:cs="宋体"/>
                <w:color w:val="000000"/>
                <w:kern w:val="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但质量目标的数据分析利用不到位</w:t>
            </w:r>
          </w:p>
          <w:p>
            <w:pPr>
              <w:rPr>
                <w:szCs w:val="21"/>
              </w:rPr>
            </w:pPr>
            <w:r>
              <w:rPr>
                <w:rFonts w:hint="eastAsia"/>
                <w:szCs w:val="21"/>
              </w:rPr>
              <w:t>质量目标：</w:t>
            </w:r>
          </w:p>
          <w:p>
            <w:pPr>
              <w:spacing w:line="360" w:lineRule="auto"/>
              <w:ind w:firstLine="420" w:firstLineChars="200"/>
              <w:jc w:val="left"/>
              <w:rPr>
                <w:rFonts w:ascii="宋体" w:hAnsi="宋体" w:cs="宋体"/>
                <w:szCs w:val="21"/>
              </w:rPr>
            </w:pPr>
            <w:r>
              <w:rPr>
                <w:rFonts w:hint="eastAsia" w:ascii="宋体" w:hAnsi="宋体" w:cs="宋体"/>
                <w:szCs w:val="21"/>
              </w:rPr>
              <w:t xml:space="preserve">质量目标：                         </w:t>
            </w:r>
          </w:p>
          <w:p>
            <w:pPr>
              <w:spacing w:line="360" w:lineRule="auto"/>
              <w:ind w:left="210" w:leftChars="100"/>
              <w:rPr>
                <w:rFonts w:ascii="宋体" w:hAnsi="宋体" w:cs="宋体"/>
              </w:rPr>
            </w:pPr>
            <w:r>
              <w:rPr>
                <w:rFonts w:hint="eastAsia" w:ascii="宋体" w:hAnsi="宋体" w:cs="宋体"/>
              </w:rPr>
              <w:t>1、产品出厂合格率100</w:t>
            </w:r>
            <w:r>
              <w:rPr>
                <w:rFonts w:ascii="宋体" w:hAnsi="宋体" w:cs="宋体"/>
              </w:rPr>
              <w:t>%</w:t>
            </w:r>
            <w:r>
              <w:rPr>
                <w:rFonts w:hint="eastAsia" w:ascii="宋体" w:hAnsi="宋体" w:cs="宋体"/>
              </w:rPr>
              <w:t xml:space="preserve">；       </w:t>
            </w:r>
          </w:p>
          <w:p>
            <w:pPr>
              <w:spacing w:line="360" w:lineRule="auto"/>
              <w:ind w:left="210" w:leftChars="100"/>
              <w:rPr>
                <w:rFonts w:ascii="宋体" w:hAnsi="宋体" w:cs="宋体"/>
              </w:rPr>
            </w:pPr>
            <w:r>
              <w:rPr>
                <w:rFonts w:hint="eastAsia" w:ascii="宋体" w:hAnsi="宋体" w:cs="宋体"/>
              </w:rPr>
              <w:t>2、顾客满意度</w:t>
            </w:r>
            <w:r>
              <w:rPr>
                <w:rFonts w:ascii="宋体" w:hAnsi="宋体" w:cs="宋体"/>
              </w:rPr>
              <w:t>90</w:t>
            </w:r>
            <w:r>
              <w:rPr>
                <w:rFonts w:hint="eastAsia" w:ascii="宋体" w:hAnsi="宋体" w:cs="宋体"/>
              </w:rPr>
              <w:t xml:space="preserve">分以上；             </w:t>
            </w:r>
          </w:p>
          <w:p>
            <w:pPr>
              <w:spacing w:line="360" w:lineRule="auto"/>
              <w:ind w:left="210" w:leftChars="100"/>
              <w:rPr>
                <w:rFonts w:ascii="宋体" w:hAnsi="宋体" w:cs="宋体"/>
                <w:color w:val="FF0000"/>
              </w:rPr>
            </w:pPr>
            <w:r>
              <w:rPr>
                <w:rFonts w:hint="eastAsia" w:ascii="宋体" w:hAnsi="宋体" w:cs="宋体"/>
              </w:rPr>
              <w:t>3、合同履约率</w:t>
            </w:r>
            <w:r>
              <w:rPr>
                <w:rFonts w:ascii="宋体" w:hAnsi="宋体" w:cs="宋体"/>
              </w:rPr>
              <w:t>100%</w:t>
            </w:r>
            <w:r>
              <w:rPr>
                <w:rFonts w:hint="eastAsia" w:ascii="宋体" w:hAnsi="宋体" w:cs="宋体"/>
              </w:rPr>
              <w:t xml:space="preserve">；    </w:t>
            </w:r>
            <w:r>
              <w:rPr>
                <w:rFonts w:hint="eastAsia" w:ascii="宋体" w:hAnsi="宋体" w:cs="宋体"/>
                <w:color w:val="FF0000"/>
              </w:rPr>
              <w:t xml:space="preserve">              </w:t>
            </w:r>
          </w:p>
          <w:p>
            <w:pPr>
              <w:spacing w:line="360" w:lineRule="auto"/>
              <w:ind w:left="210" w:leftChars="100"/>
              <w:rPr>
                <w:szCs w:val="21"/>
              </w:rPr>
            </w:pPr>
            <w:r>
              <w:rPr>
                <w:rFonts w:hint="eastAsia"/>
                <w:szCs w:val="21"/>
              </w:rPr>
              <w:t xml:space="preserve">环境目标 </w:t>
            </w:r>
          </w:p>
          <w:p>
            <w:pPr>
              <w:spacing w:line="360" w:lineRule="auto"/>
              <w:jc w:val="left"/>
              <w:rPr>
                <w:szCs w:val="21"/>
              </w:rPr>
            </w:pPr>
            <w:r>
              <w:rPr>
                <w:rFonts w:hint="eastAsia"/>
                <w:szCs w:val="21"/>
              </w:rPr>
              <w:t xml:space="preserve">1、固体废弃物分类处理率100%；  </w:t>
            </w:r>
          </w:p>
          <w:p>
            <w:pPr>
              <w:spacing w:line="360" w:lineRule="auto"/>
              <w:jc w:val="left"/>
              <w:rPr>
                <w:szCs w:val="21"/>
              </w:rPr>
            </w:pPr>
            <w:r>
              <w:rPr>
                <w:rFonts w:hint="eastAsia"/>
                <w:szCs w:val="21"/>
              </w:rPr>
              <w:t>2、火灾事故为零。</w:t>
            </w:r>
          </w:p>
          <w:p>
            <w:pPr>
              <w:spacing w:line="360" w:lineRule="auto"/>
              <w:jc w:val="left"/>
              <w:rPr>
                <w:szCs w:val="21"/>
              </w:rPr>
            </w:pPr>
            <w:r>
              <w:rPr>
                <w:rFonts w:hint="eastAsia"/>
                <w:szCs w:val="21"/>
              </w:rPr>
              <w:t>3、重大污染事故发生为零</w:t>
            </w:r>
          </w:p>
          <w:p>
            <w:pPr>
              <w:spacing w:line="360" w:lineRule="auto"/>
              <w:jc w:val="left"/>
              <w:rPr>
                <w:szCs w:val="21"/>
              </w:rPr>
            </w:pPr>
            <w:r>
              <w:rPr>
                <w:rFonts w:hint="eastAsia"/>
                <w:szCs w:val="21"/>
              </w:rPr>
              <w:t xml:space="preserve">职业健康安全目标 </w:t>
            </w:r>
          </w:p>
          <w:p>
            <w:pPr>
              <w:spacing w:line="360" w:lineRule="auto"/>
              <w:jc w:val="left"/>
              <w:rPr>
                <w:szCs w:val="21"/>
              </w:rPr>
            </w:pPr>
            <w:r>
              <w:rPr>
                <w:rFonts w:hint="eastAsia"/>
                <w:szCs w:val="21"/>
              </w:rPr>
              <w:t xml:space="preserve">1、火灾事故为零； </w:t>
            </w:r>
          </w:p>
          <w:p>
            <w:pPr>
              <w:spacing w:line="360" w:lineRule="auto"/>
              <w:jc w:val="left"/>
              <w:rPr>
                <w:szCs w:val="21"/>
              </w:rPr>
            </w:pPr>
            <w:r>
              <w:rPr>
                <w:rFonts w:hint="eastAsia"/>
                <w:szCs w:val="21"/>
              </w:rPr>
              <w:t>2、重大安全事故为零。</w:t>
            </w:r>
          </w:p>
          <w:p>
            <w:pPr>
              <w:spacing w:line="360" w:lineRule="auto"/>
              <w:jc w:val="left"/>
              <w:rPr>
                <w:rFonts w:ascii="宋体" w:hAnsi="宋体"/>
                <w:b/>
                <w:color w:val="000000" w:themeColor="text1"/>
              </w:rPr>
            </w:pPr>
            <w:r>
              <w:rPr>
                <w:rFonts w:hint="eastAsia"/>
                <w:szCs w:val="21"/>
              </w:rPr>
              <w:t>3、员工工伤率</w:t>
            </w:r>
            <w:r>
              <w:rPr>
                <w:rFonts w:hint="eastAsia" w:ascii="宋体" w:hAnsi="宋体"/>
                <w:szCs w:val="21"/>
              </w:rPr>
              <w:t>＜</w:t>
            </w:r>
            <w:r>
              <w:rPr>
                <w:rFonts w:hint="eastAsia"/>
                <w:szCs w:val="21"/>
              </w:rPr>
              <w:t>0.3</w:t>
            </w:r>
            <w:r>
              <w:rPr>
                <w:rFonts w:hint="eastAsia" w:ascii="宋体" w:hAnsi="宋体"/>
                <w:szCs w:val="21"/>
              </w:rPr>
              <w:t>％</w:t>
            </w:r>
            <w:r>
              <w:rPr>
                <w:rFonts w:hint="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ascii="宋体" w:hAnsi="宋体"/>
                <w:b/>
                <w:color w:val="000000" w:themeColor="text1"/>
                <w:sz w:val="20"/>
                <w:szCs w:val="20"/>
              </w:rPr>
            </w:pPr>
            <w:r>
              <w:rPr>
                <w:rFonts w:hint="eastAsia"/>
                <w:b/>
                <w:color w:val="000000" w:themeColor="text1"/>
                <w:sz w:val="20"/>
                <w:szCs w:val="20"/>
              </w:rPr>
              <w:t>10.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tabs>
                <w:tab w:val="left" w:pos="540"/>
              </w:tabs>
              <w:spacing w:line="240" w:lineRule="exact"/>
              <w:rPr>
                <w:rFonts w:ascii="宋体" w:hAnsi="宋体"/>
                <w:b/>
                <w:color w:val="000000" w:themeColor="text1"/>
                <w:sz w:val="20"/>
                <w:szCs w:val="20"/>
              </w:rPr>
            </w:pPr>
            <w:r>
              <w:rPr>
                <w:rFonts w:hint="eastAsia" w:ascii="宋体" w:hAnsi="宋体" w:cs="宋体"/>
                <w:color w:val="000000" w:themeColor="text1"/>
              </w:rPr>
              <w:t>公司按照申请认证的标准要求，建立并形成了文件化的</w:t>
            </w:r>
            <w:r>
              <w:rPr>
                <w:rFonts w:hint="eastAsia" w:ascii="宋体" w:hAnsi="宋体"/>
                <w:color w:val="000000" w:themeColor="text1"/>
              </w:rPr>
              <w:t>环境和职业健康安全</w:t>
            </w:r>
            <w:r>
              <w:rPr>
                <w:rFonts w:hint="eastAsia" w:ascii="宋体" w:hAnsi="宋体" w:cs="宋体"/>
                <w:color w:val="000000" w:themeColor="text1"/>
              </w:rPr>
              <w:t>管理体系，体系文件对管理体系各过程进行了识别确定、明确了各要素间的相互关系及其管控要求。公司体系文件于</w:t>
            </w:r>
            <w:r>
              <w:rPr>
                <w:rFonts w:hint="eastAsia" w:ascii="宋体" w:hAnsi="宋体" w:cs="Arial"/>
                <w:color w:val="000000" w:themeColor="text1"/>
              </w:rPr>
              <w:t xml:space="preserve">2021 </w:t>
            </w:r>
            <w:r>
              <w:rPr>
                <w:rFonts w:hint="eastAsia" w:ascii="宋体" w:hAnsi="宋体" w:cs="宋体"/>
                <w:color w:val="000000" w:themeColor="text1"/>
              </w:rPr>
              <w:t>年1月1日予以发布并有效实施运行（进行了换版，三体系文件一体化），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spacing w:line="300" w:lineRule="exact"/>
              <w:rPr>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tabs>
                <w:tab w:val="left" w:pos="2552"/>
              </w:tabs>
              <w:spacing w:line="0" w:lineRule="atLeast"/>
              <w:ind w:firstLine="420" w:firstLineChars="200"/>
              <w:rPr>
                <w:rFonts w:ascii="宋体" w:hAnsi="宋体"/>
                <w:bCs/>
                <w:iCs/>
                <w:szCs w:val="22"/>
              </w:rPr>
            </w:pPr>
            <w:r>
              <w:rPr>
                <w:rFonts w:hint="eastAsia" w:ascii="宋体" w:hAnsi="宋体"/>
                <w:bCs/>
                <w:iCs/>
              </w:rPr>
              <w:t>组</w:t>
            </w:r>
            <w:r>
              <w:rPr>
                <w:rFonts w:hint="eastAsia" w:ascii="宋体" w:hAnsi="宋体"/>
                <w:bCs/>
                <w:iCs/>
                <w:szCs w:val="22"/>
              </w:rPr>
              <w:t>织按管理体系需求配置了充足的人员、设施、监视和测量设备等资源，并建立维持了</w:t>
            </w:r>
            <w:r>
              <w:rPr>
                <w:rFonts w:hint="eastAsia" w:ascii="宋体" w:hAnsi="宋体"/>
                <w:szCs w:val="21"/>
              </w:rPr>
              <w:t>人力资源管理</w:t>
            </w:r>
            <w:r>
              <w:rPr>
                <w:rFonts w:hint="eastAsia" w:ascii="宋体" w:hAnsi="宋体"/>
                <w:bCs/>
                <w:iCs/>
                <w:szCs w:val="22"/>
              </w:rPr>
              <w:t>及相关服务运行环境，可以维持管理体系的正常运行。</w:t>
            </w:r>
          </w:p>
          <w:p>
            <w:pPr>
              <w:spacing w:line="300" w:lineRule="exact"/>
              <w:rPr>
                <w:rFonts w:ascii="宋体" w:hAnsi="宋体"/>
                <w:b/>
                <w:color w:val="000000" w:themeColor="text1"/>
                <w:sz w:val="20"/>
                <w:szCs w:val="20"/>
              </w:rPr>
            </w:pPr>
            <w:r>
              <w:rPr>
                <w:rFonts w:hint="eastAsia" w:ascii="宋体" w:hAnsi="宋体"/>
                <w:bCs/>
                <w:iCs/>
              </w:rPr>
              <w:t xml:space="preserve">    组织识别和维护运行中所需的知识，并适时更新，组织的知识可以保证其提供合格产品和服务的要求，并应对不断变化的需求和发展趋势进行评价。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设备设施（包括信息系统）、</w:t>
            </w:r>
          </w:p>
          <w:p>
            <w:pPr>
              <w:spacing w:line="240" w:lineRule="exact"/>
              <w:ind w:firstLine="210" w:firstLineChars="100"/>
              <w:rPr>
                <w:rFonts w:ascii="宋体" w:hAnsi="宋体"/>
                <w:b/>
                <w:color w:val="000000" w:themeColor="text1"/>
                <w:sz w:val="20"/>
                <w:szCs w:val="20"/>
              </w:rPr>
            </w:pPr>
            <w:r>
              <w:rPr>
                <w:rFonts w:hint="eastAsia" w:ascii="宋体" w:hAnsi="宋体" w:cs="宋体"/>
                <w:szCs w:val="21"/>
              </w:rPr>
              <w:t>组织有</w:t>
            </w:r>
            <w:r>
              <w:rPr>
                <w:rFonts w:hint="eastAsia" w:ascii="宋体" w:hAnsi="宋体"/>
                <w:szCs w:val="21"/>
              </w:rPr>
              <w:t>厂房面积2000平方左右，车间、库房按区域划分开，办公场所面积100平方。</w:t>
            </w:r>
            <w:r>
              <w:rPr>
                <w:rFonts w:hint="eastAsia" w:ascii="宋体" w:hAnsi="宋体" w:cs="宋体"/>
                <w:szCs w:val="21"/>
              </w:rPr>
              <w:t>主要设备包括：全自动中空成型吹塑机、粉粹机</w:t>
            </w:r>
            <w:r>
              <w:rPr>
                <w:rFonts w:hint="eastAsia" w:ascii="宋体" w:hAnsi="宋体"/>
                <w:szCs w:val="21"/>
              </w:rPr>
              <w:t>等</w:t>
            </w:r>
            <w:r>
              <w:rPr>
                <w:rFonts w:hint="eastAsia" w:ascii="宋体" w:hAnsi="宋体" w:cs="宋体"/>
                <w:szCs w:val="21"/>
              </w:rPr>
              <w:t>，可以满足塑料包装桶生产需要。对设备按月方式进行点检维护保养，并实施。特种设备：无。公司未建立信息管理系统用于生产和服务。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pPr>
              <w:spacing w:line="240" w:lineRule="exact"/>
              <w:rPr>
                <w:rFonts w:ascii="宋体" w:hAnsi="宋体"/>
                <w:b/>
                <w:color w:val="000000" w:themeColor="text1"/>
                <w:sz w:val="20"/>
                <w:szCs w:val="20"/>
              </w:rPr>
            </w:pPr>
            <w:r>
              <w:rPr>
                <w:rFonts w:hint="eastAsia" w:ascii="宋体" w:hAnsi="宋体" w:cs="宋体"/>
                <w:szCs w:val="21"/>
              </w:rPr>
              <w:t>生产车间和办公场所和内设备布置合理，通道畅通，照明设施齐全，均配备了消防设施等设施。办公室明亮，培训场所光线较充足。每月由行政部对工作环境进行定期检查。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监视和测量资源</w:t>
            </w:r>
          </w:p>
          <w:p>
            <w:pPr>
              <w:spacing w:line="400" w:lineRule="atLeast"/>
              <w:rPr>
                <w:rFonts w:ascii="宋体" w:hAnsi="宋体"/>
                <w:szCs w:val="21"/>
              </w:rPr>
            </w:pPr>
            <w:r>
              <w:rPr>
                <w:rFonts w:hint="eastAsia" w:ascii="宋体" w:hAnsi="宋体"/>
                <w:szCs w:val="21"/>
              </w:rPr>
              <w:t>生产车间及检验部门均按策划的要求配置了</w:t>
            </w:r>
            <w:r>
              <w:rPr>
                <w:rFonts w:hint="eastAsia" w:ascii="宋体" w:hAnsi="宋体" w:cs="宋体"/>
                <w:szCs w:val="21"/>
              </w:rPr>
              <w:t>游标卡尺、电子秤和弹簧度盘秤</w:t>
            </w:r>
            <w:r>
              <w:rPr>
                <w:rFonts w:hint="eastAsia"/>
                <w:szCs w:val="21"/>
              </w:rPr>
              <w:t>等</w:t>
            </w:r>
            <w:r>
              <w:rPr>
                <w:rFonts w:hint="eastAsia" w:ascii="宋体" w:hAnsi="宋体"/>
                <w:szCs w:val="21"/>
              </w:rPr>
              <w:t>检测设备，能保证塑料包装桶生产要求。检具采用委外送检，未能提供有效检定或校准证书。需要改进。</w:t>
            </w:r>
          </w:p>
          <w:p>
            <w:pPr>
              <w:spacing w:line="24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知识</w:t>
            </w:r>
          </w:p>
          <w:p>
            <w:pPr>
              <w:spacing w:line="400" w:lineRule="exact"/>
              <w:ind w:firstLine="315" w:firstLineChars="150"/>
              <w:rPr>
                <w:rFonts w:ascii="宋体" w:hAnsi="宋体" w:cs="宋体"/>
                <w:color w:val="000000"/>
                <w:szCs w:val="21"/>
              </w:rPr>
            </w:pPr>
            <w:r>
              <w:rPr>
                <w:rFonts w:hint="eastAsia" w:ascii="宋体" w:hAnsi="宋体" w:cs="宋体"/>
                <w:color w:val="000000"/>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240" w:lineRule="exact"/>
              <w:rPr>
                <w:rFonts w:ascii="宋体" w:hAnsi="宋体"/>
                <w:b/>
                <w:color w:val="000000" w:themeColor="text1"/>
                <w:sz w:val="20"/>
                <w:szCs w:val="20"/>
              </w:rPr>
            </w:pPr>
            <w:r>
              <w:rPr>
                <w:rFonts w:hint="eastAsia" w:ascii="宋体" w:hAnsi="宋体" w:cs="宋体"/>
                <w:color w:val="000000"/>
                <w:szCs w:val="21"/>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sz w:val="20"/>
                <w:szCs w:val="20"/>
              </w:rPr>
            </w:pPr>
            <w:r>
              <w:rPr>
                <w:rFonts w:hint="eastAsia" w:ascii="宋体" w:hAnsi="宋体"/>
                <w:b/>
                <w:sz w:val="20"/>
                <w:szCs w:val="20"/>
              </w:rPr>
              <w:t>环保设施：</w:t>
            </w:r>
          </w:p>
          <w:p>
            <w:pPr>
              <w:spacing w:line="240" w:lineRule="exact"/>
              <w:rPr>
                <w:rFonts w:ascii="宋体" w:hAnsi="宋体"/>
                <w:sz w:val="20"/>
                <w:szCs w:val="20"/>
              </w:rPr>
            </w:pPr>
            <w:r>
              <w:rPr>
                <w:rFonts w:hint="eastAsia" w:ascii="宋体" w:hAnsi="宋体"/>
                <w:sz w:val="20"/>
                <w:szCs w:val="20"/>
              </w:rPr>
              <w:t>消防栓、灭火器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sz w:val="20"/>
                <w:szCs w:val="20"/>
              </w:rPr>
            </w:pPr>
            <w:r>
              <w:rPr>
                <w:rFonts w:hint="eastAsia" w:ascii="宋体" w:hAnsi="宋体"/>
                <w:b/>
                <w:sz w:val="20"/>
                <w:szCs w:val="20"/>
              </w:rPr>
              <w:t>职业健康安全设施：</w:t>
            </w:r>
          </w:p>
          <w:p>
            <w:pPr>
              <w:spacing w:line="240" w:lineRule="exact"/>
              <w:rPr>
                <w:rFonts w:ascii="宋体" w:hAnsi="宋体"/>
                <w:sz w:val="20"/>
                <w:szCs w:val="20"/>
              </w:rPr>
            </w:pPr>
            <w:r>
              <w:rPr>
                <w:rFonts w:hint="eastAsia" w:ascii="宋体" w:hAnsi="宋体"/>
                <w:sz w:val="20"/>
                <w:szCs w:val="20"/>
              </w:rPr>
              <w:t>消防栓、灭火器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46"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tcPr>
          <w:p>
            <w:pPr>
              <w:spacing w:line="300" w:lineRule="exact"/>
              <w:rPr>
                <w:b/>
                <w:color w:val="000000" w:themeColor="text1"/>
                <w:sz w:val="20"/>
                <w:szCs w:val="20"/>
              </w:rPr>
            </w:pPr>
            <w:r>
              <w:rPr>
                <w:rFonts w:hint="eastAsia"/>
                <w:b/>
                <w:color w:val="000000" w:themeColor="text1"/>
                <w:sz w:val="20"/>
                <w:szCs w:val="20"/>
              </w:rPr>
              <w:t>1. 针对方针的管理职责评审</w:t>
            </w:r>
          </w:p>
          <w:p>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pPr>
              <w:spacing w:line="300" w:lineRule="exact"/>
              <w:ind w:left="1"/>
              <w:rPr>
                <w:b/>
                <w:color w:val="000000" w:themeColor="text1"/>
                <w:sz w:val="20"/>
                <w:szCs w:val="20"/>
              </w:rPr>
            </w:pPr>
            <w:r>
              <w:rPr>
                <w:rFonts w:hint="eastAsia" w:ascii="宋体" w:hAnsi="宋体" w:cs="宋体"/>
                <w:szCs w:val="21"/>
              </w:rPr>
              <w:t>最高管理者组织制定了方针：现行的方针在手册有专门的释议，具备适宜性。通过会议、张贴等方式进行传达宣贯，管理绩效表明其方针能够通过管理体系加以有效实施、实现及动态管理，实际未发生变更。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内部沟通的情况：内部沟通方式：</w:t>
            </w:r>
            <w:r>
              <w:rPr>
                <w:rFonts w:hint="eastAsia" w:ascii="宋体" w:hAnsi="宋体" w:cs="宋体"/>
                <w:color w:val="000000"/>
                <w:szCs w:val="21"/>
              </w:rPr>
              <w:t>在公司内部主要采用电话、会议、面谈等形式就与产品质量、服务有关问题及与质量管理体系有关问题进行沟通，未发生由于沟通不到位而影响工作的情况。</w:t>
            </w: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 xml:space="preserve">                内部沟通的效果：良好</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组织对外联络，关注顾客的感受情况（QMS）：采取顾客满意度调查方式了解顾客感受。</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外部信息的接收、成文并答复的情况（E、S填写）：对会议通知和规定等登记处理</w:t>
            </w:r>
          </w:p>
          <w:p>
            <w:pPr>
              <w:spacing w:line="240" w:lineRule="exact"/>
              <w:rPr>
                <w:rFonts w:ascii="楷体_GB2312" w:eastAsia="楷体_GB2312"/>
                <w:b/>
                <w:color w:val="000000" w:themeColor="text1"/>
                <w:sz w:val="20"/>
                <w:szCs w:val="20"/>
              </w:rPr>
            </w:pPr>
          </w:p>
          <w:p>
            <w:pPr>
              <w:spacing w:line="240" w:lineRule="exact"/>
              <w:rPr>
                <w:szCs w:val="21"/>
              </w:rPr>
            </w:pPr>
            <w:r>
              <w:rPr>
                <w:rFonts w:hint="eastAsia" w:ascii="楷体_GB2312" w:eastAsia="楷体_GB2312"/>
                <w:b/>
                <w:color w:val="000000" w:themeColor="text1"/>
                <w:sz w:val="20"/>
                <w:szCs w:val="20"/>
              </w:rPr>
              <w:t>重要环境因素信息对外交流情况（EMS填写）：</w:t>
            </w:r>
            <w:r>
              <w:rPr>
                <w:rFonts w:hint="eastAsia"/>
                <w:szCs w:val="21"/>
              </w:rPr>
              <w:t>主要通过网络、交流及公开信、合同等方式进行，并达成一致性意见实施有效控制</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OHSMS事务代表协商和交流的情况（OHSMS填写）：</w:t>
            </w:r>
            <w:r>
              <w:rPr>
                <w:rFonts w:hint="eastAsia" w:ascii="宋体" w:hAnsi="宋体" w:cs="Arial"/>
                <w:szCs w:val="21"/>
              </w:rPr>
              <w:t>与安全健康管理有关的法律法规，包括《劳动合同法》、《工伤保险条例》、《职业病防治法》等关于员工权益、保险等内容</w:t>
            </w:r>
          </w:p>
          <w:p>
            <w:pPr>
              <w:spacing w:line="240" w:lineRule="exact"/>
              <w:rPr>
                <w:rFonts w:ascii="楷体_GB2312" w:eastAsia="楷体_GB2312"/>
                <w:b/>
                <w:color w:val="000000" w:themeColor="text1"/>
                <w:szCs w:val="21"/>
              </w:rPr>
            </w:pPr>
          </w:p>
          <w:p>
            <w:pPr>
              <w:spacing w:line="240" w:lineRule="exact"/>
              <w:rPr>
                <w:rFonts w:ascii="楷体_GB2312" w:eastAsia="楷体_GB2312"/>
                <w:b/>
                <w:color w:val="000000" w:themeColor="text1"/>
                <w:szCs w:val="21"/>
              </w:rPr>
            </w:pPr>
            <w:r>
              <w:rPr>
                <w:rFonts w:hint="eastAsia" w:ascii="楷体_GB2312" w:eastAsia="楷体_GB2312"/>
                <w:b/>
                <w:color w:val="000000" w:themeColor="text1"/>
                <w:szCs w:val="21"/>
              </w:rPr>
              <w:t>与相关方协商的情况（OHSMS填写）：按公司要求执行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35"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188"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spacing w:line="240" w:lineRule="exact"/>
              <w:rPr>
                <w:b/>
                <w:color w:val="000000" w:themeColor="text1"/>
                <w:sz w:val="20"/>
                <w:szCs w:val="20"/>
              </w:rPr>
            </w:pPr>
            <w:r>
              <w:rPr>
                <w:rFonts w:hint="eastAsia" w:ascii="宋体" w:hAnsi="宋体" w:cs="宋体"/>
                <w:color w:val="000000"/>
                <w:szCs w:val="21"/>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生产及服务过程，从审核过程看，公司的产品质量管理基本受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94"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240" w:lineRule="exact"/>
              <w:rPr>
                <w:rFonts w:ascii="宋体" w:hAnsi="宋体" w:cs="宋体"/>
                <w:color w:val="000000"/>
                <w:szCs w:val="21"/>
              </w:rPr>
            </w:pPr>
            <w:r>
              <w:rPr>
                <w:rFonts w:hint="eastAsia" w:ascii="宋体" w:hAnsi="宋体" w:cs="宋体"/>
                <w:color w:val="000000"/>
                <w:szCs w:val="21"/>
              </w:rPr>
              <w:t>制定并实施了产品检验控制规定，规定了公司各管理层次和品质检测部门在各阶段对产品服务质量实施检查与验收的管理要求。内容基本具备全面性、系统性及可操作性。质量检查与验收均在出厂前予以实现，范围包括：过程、最终产品。以此保证持续向顾客稳定提供稳定合格的产品。</w:t>
            </w:r>
          </w:p>
          <w:p>
            <w:pPr>
              <w:spacing w:line="240" w:lineRule="exact"/>
              <w:rPr>
                <w:b/>
                <w:color w:val="000000" w:themeColor="text1"/>
                <w:sz w:val="20"/>
                <w:szCs w:val="20"/>
              </w:rPr>
            </w:pPr>
            <w:r>
              <w:rPr>
                <w:rFonts w:hint="eastAsia"/>
                <w:b/>
                <w:color w:val="000000" w:themeColor="text1"/>
                <w:sz w:val="20"/>
                <w:szCs w:val="20"/>
              </w:rPr>
              <w:t>(应说明相关证据)：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8"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300" w:lineRule="exact"/>
              <w:ind w:firstLine="197" w:firstLineChars="98"/>
              <w:rPr>
                <w:b/>
                <w:color w:val="000000" w:themeColor="text1"/>
                <w:sz w:val="20"/>
                <w:szCs w:val="20"/>
              </w:rPr>
            </w:pPr>
            <w:r>
              <w:rPr>
                <w:rFonts w:hint="eastAsia"/>
                <w:b/>
                <w:color w:val="000000" w:themeColor="text1"/>
                <w:sz w:val="20"/>
                <w:szCs w:val="20"/>
              </w:rPr>
              <w:t>提供有：</w:t>
            </w:r>
            <w:r>
              <w:rPr>
                <w:rFonts w:hint="eastAsia" w:ascii="宋体" w:hAnsi="宋体"/>
                <w:szCs w:val="21"/>
              </w:rPr>
              <w:t>无。</w:t>
            </w:r>
          </w:p>
          <w:p>
            <w:pPr>
              <w:spacing w:line="300" w:lineRule="exact"/>
              <w:ind w:firstLine="197" w:firstLineChars="98"/>
              <w:rPr>
                <w:b/>
                <w:color w:val="000000" w:themeColor="text1"/>
                <w:sz w:val="20"/>
                <w:szCs w:val="20"/>
              </w:rPr>
            </w:pPr>
            <w:r>
              <w:rPr>
                <w:rFonts w:hint="eastAsia"/>
                <w:b/>
                <w:color w:val="000000" w:themeColor="text1"/>
                <w:sz w:val="20"/>
                <w:szCs w:val="20"/>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1"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不合格品/项的识别、控制;</w:t>
            </w:r>
          </w:p>
          <w:p>
            <w:pPr>
              <w:spacing w:line="240" w:lineRule="exact"/>
              <w:rPr>
                <w:b/>
                <w:color w:val="000000" w:themeColor="text1"/>
                <w:sz w:val="20"/>
                <w:szCs w:val="20"/>
              </w:rPr>
            </w:pPr>
            <w:r>
              <w:rPr>
                <w:rFonts w:hint="eastAsia" w:ascii="宋体" w:hAnsi="宋体" w:cs="宋体"/>
                <w:color w:val="000000"/>
                <w:szCs w:val="2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7. EMS组织对重要环境因素实施控制的结果</w:t>
            </w:r>
          </w:p>
          <w:p>
            <w:pPr>
              <w:spacing w:line="240" w:lineRule="exact"/>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tabs>
                <w:tab w:val="left" w:pos="2552"/>
              </w:tabs>
              <w:spacing w:line="360" w:lineRule="exact"/>
              <w:ind w:firstLine="315" w:firstLineChars="150"/>
              <w:rPr>
                <w:b/>
                <w:color w:val="000000" w:themeColor="text1"/>
                <w:sz w:val="20"/>
                <w:szCs w:val="20"/>
              </w:rPr>
            </w:pPr>
            <w:r>
              <w:rPr>
                <w:rFonts w:hint="eastAsia" w:asciiTheme="minorEastAsia" w:hAnsiTheme="minorEastAsia" w:eastAsiaTheme="minorEastAsia"/>
                <w:bCs/>
                <w:iCs/>
              </w:rPr>
              <w:t>组织重要环境因素为固废排放和潜在火灾，需要应对的风险和机遇相关的过程为销售过程，建立了控制过程的识别、策划控制程序，控制措施实施有效性（包括组织自身的污染预防控制及对相关方的控制）；组织在运行策划时，基于产品生命周期的思维，识别了整个过程的环境影响。具体控制措施，包括：固废的控制、潜在火灾的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8. OHS 组织对不可接受风险实施控制的结果</w:t>
            </w:r>
          </w:p>
          <w:p>
            <w:pPr>
              <w:tabs>
                <w:tab w:val="left" w:pos="2552"/>
              </w:tabs>
              <w:spacing w:line="360" w:lineRule="exact"/>
              <w:ind w:firstLine="315" w:firstLineChars="150"/>
              <w:rPr>
                <w:rFonts w:asciiTheme="minorEastAsia" w:hAnsiTheme="minorEastAsia" w:eastAsiaTheme="minorEastAsia"/>
                <w:bCs/>
                <w:iCs/>
              </w:rPr>
            </w:pPr>
            <w:r>
              <w:rPr>
                <w:rFonts w:hint="eastAsia" w:asciiTheme="minorEastAsia" w:hAnsiTheme="minorEastAsia" w:eastAsiaTheme="minorEastAsia"/>
                <w:bCs/>
                <w:iCs/>
              </w:rPr>
              <w:t>组织建立了危险源识别、评价控制程序，识别评价了危险源、风险相关的过程，评价出了重要危险源，与之相关的过程有服务、信息处理过程，针对不可接受风险制定了管理方案。控制措施实施有效。</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201" w:hanging="201" w:hangingChars="100"/>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spacing w:line="240" w:lineRule="exact"/>
              <w:rPr>
                <w:rFonts w:asciiTheme="minorEastAsia" w:hAnsiTheme="minorEastAsia" w:eastAsiaTheme="minorEastAsia"/>
                <w:b/>
                <w:color w:val="000000" w:themeColor="text1"/>
                <w:spacing w:val="-4"/>
                <w:sz w:val="20"/>
                <w:szCs w:val="20"/>
              </w:rPr>
            </w:pPr>
            <w:r>
              <w:rPr>
                <w:rFonts w:hint="eastAsia" w:asciiTheme="minorEastAsia" w:hAnsiTheme="minorEastAsia" w:eastAsiaTheme="minorEastAsia"/>
                <w:bCs/>
                <w:iCs/>
              </w:rPr>
              <w:t>组织识别了紧急情况，应急准备和响应为潜在火灾，识别合理、有效。应急物资配备有灭火器和消防栓，编制有应急预案，并组织了演练，并对应急预案进行了评价。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8"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10. 对特种设备的维护; </w:t>
            </w:r>
            <w:r>
              <w:rPr>
                <w:rFonts w:hint="eastAsia"/>
                <w:b/>
                <w:sz w:val="20"/>
                <w:szCs w:val="20"/>
              </w:rPr>
              <w:t>（适用时）</w:t>
            </w: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1"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sz w:val="20"/>
                <w:szCs w:val="20"/>
              </w:rPr>
            </w:pPr>
            <w:r>
              <w:rPr>
                <w:rFonts w:hint="eastAsia"/>
                <w:b/>
                <w:color w:val="000000" w:themeColor="text1"/>
                <w:sz w:val="20"/>
                <w:szCs w:val="20"/>
              </w:rPr>
              <w:t>11 .对危险化学品销售、使用、储存、运输处置，规定的执行力度(必要时);</w:t>
            </w:r>
            <w:r>
              <w:rPr>
                <w:rFonts w:hint="eastAsia"/>
                <w:b/>
                <w:sz w:val="20"/>
                <w:szCs w:val="20"/>
              </w:rPr>
              <w:t>（适用时）</w:t>
            </w:r>
          </w:p>
          <w:p>
            <w:pPr>
              <w:spacing w:line="240" w:lineRule="exact"/>
              <w:rPr>
                <w:sz w:val="20"/>
                <w:szCs w:val="20"/>
              </w:rPr>
            </w:pPr>
            <w:r>
              <w:rPr>
                <w:rFonts w:hint="eastAsia"/>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r>
              <w:rPr>
                <w:rFonts w:hint="eastAsia"/>
                <w:b/>
                <w:sz w:val="20"/>
                <w:szCs w:val="20"/>
              </w:rPr>
              <w:t>（适用时）</w:t>
            </w:r>
          </w:p>
          <w:p>
            <w:pPr>
              <w:spacing w:line="240" w:lineRule="exact"/>
              <w:ind w:firstLine="105" w:firstLineChars="50"/>
              <w:rPr>
                <w:b/>
                <w:color w:val="000000" w:themeColor="text1"/>
                <w:sz w:val="20"/>
                <w:szCs w:val="20"/>
              </w:rPr>
            </w:pPr>
            <w:r>
              <w:rPr>
                <w:rFonts w:hint="eastAsia" w:ascii="宋体" w:hAnsi="宋体" w:cs="宋体"/>
                <w:color w:val="00000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w:t>
            </w:r>
            <w:r>
              <w:rPr>
                <w:rFonts w:hint="eastAsia" w:ascii="宋体" w:hAnsi="宋体" w:cs="宋体"/>
                <w:szCs w:val="21"/>
              </w:rPr>
              <w:t>通过2021年1月-2021年3月目标的测量，总体已达到或超过了规定的目标值。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2.顾客满意</w:t>
            </w:r>
          </w:p>
          <w:p>
            <w:pPr>
              <w:spacing w:line="240" w:lineRule="exact"/>
              <w:ind w:left="105" w:leftChars="50" w:firstLine="315" w:firstLineChars="150"/>
              <w:rPr>
                <w:b/>
                <w:color w:val="000000" w:themeColor="text1"/>
                <w:sz w:val="20"/>
                <w:szCs w:val="20"/>
              </w:rPr>
            </w:pPr>
            <w:r>
              <w:rPr>
                <w:rFonts w:hint="eastAsia" w:ascii="宋体" w:hAnsi="宋体" w:cs="宋体"/>
                <w:color w:val="000000"/>
                <w:szCs w:val="21"/>
              </w:rPr>
              <w:t>公司建立了顾客满意度监视和测量控制程序，对顾客投诉处理及顾客满意度评价做了明确的规定，并按规定对顾客反馈及时处理，但在顾客反馈信息的利用上不够，需要改善。近年来未发生重大顾客投诉和产品质量事故。顾客满意度调查按规定实施</w:t>
            </w:r>
            <w:r>
              <w:rPr>
                <w:rFonts w:hint="eastAsia" w:ascii="宋体" w:hAnsi="宋体" w:cs="宋体"/>
                <w:szCs w:val="21"/>
              </w:rPr>
              <w:t>，2021年3月实施，满意度评价93分，总体实现了顾客满意度的质量目标要求。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3"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spacing w:line="240" w:lineRule="exact"/>
              <w:rPr>
                <w:b/>
                <w:color w:val="FF0000"/>
                <w:sz w:val="20"/>
                <w:szCs w:val="20"/>
              </w:rPr>
            </w:pPr>
            <w:r>
              <w:rPr>
                <w:rFonts w:hint="eastAsia" w:ascii="宋体" w:hAnsi="宋体"/>
                <w:szCs w:val="21"/>
              </w:rPr>
              <w:t>建立有《内部审核控制程序》，规定了内审频次一年一次，内审时间：2021年4月5日，拟定了审核实施表，明确了内审范围，内审人员经培训合格上岗，能力满足要求，未出现审核本部门情况，内审不符合项1项，涉及综合部不符合标准ES7.2条款，审核中发现未提供2021年对环境、职业健康安全相关法律法规进行培训的证据，针对该不符合项，已及时采取纠正措施后，经内审员验证关闭。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7"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spacing w:line="240" w:lineRule="exact"/>
              <w:rPr>
                <w:b/>
                <w:color w:val="000000" w:themeColor="text1"/>
                <w:sz w:val="20"/>
                <w:szCs w:val="20"/>
              </w:rPr>
            </w:pPr>
            <w:r>
              <w:rPr>
                <w:rFonts w:hint="eastAsia" w:ascii="宋体" w:hAnsi="宋体" w:cs="宋体"/>
                <w:szCs w:val="21"/>
              </w:rPr>
              <w:t>管理评审频次为一年一次、本次管理评审于</w:t>
            </w:r>
            <w:r>
              <w:rPr>
                <w:rFonts w:hint="eastAsia" w:ascii="宋体" w:hAnsi="宋体"/>
                <w:szCs w:val="21"/>
              </w:rPr>
              <w:t>2021年4月25日</w:t>
            </w:r>
            <w:r>
              <w:rPr>
                <w:rFonts w:hint="eastAsia" w:ascii="宋体" w:hAnsi="宋体" w:cs="宋体"/>
                <w:szCs w:val="21"/>
              </w:rPr>
              <w:t>由总经理主持完成、提供主要输入材料有各部门总结，输入信息基本充分和满足要求。输出见“管理评审报告”, 做出了管理体系基本适宜、充分和有效的评审结论。管理评审的输出不具体，需要改善。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2"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5.  EMS是否按规定对主要污染物（污水、废气、噪声、废渣等）及排放实施了例行的监视或测量，结果是否满足相关要求？</w:t>
            </w:r>
          </w:p>
          <w:p>
            <w:pPr>
              <w:spacing w:line="240" w:lineRule="exact"/>
              <w:ind w:firstLine="200" w:firstLineChars="100"/>
              <w:rPr>
                <w:sz w:val="20"/>
                <w:szCs w:val="20"/>
              </w:rPr>
            </w:pPr>
            <w:r>
              <w:rPr>
                <w:rFonts w:hint="eastAsia"/>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1"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 xml:space="preserve">国家/地方环保部门监测结果、新改扩建项目符合环评报告、三同时验收报告要求情况及措施 </w:t>
            </w:r>
          </w:p>
          <w:p>
            <w:pPr>
              <w:spacing w:line="240" w:lineRule="exact"/>
              <w:rPr>
                <w:b/>
                <w:sz w:val="20"/>
                <w:szCs w:val="20"/>
              </w:rPr>
            </w:pPr>
            <w:r>
              <w:rPr>
                <w:rFonts w:hint="eastAsia"/>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240" w:lineRule="exact"/>
              <w:rPr>
                <w:b/>
                <w:color w:val="000000" w:themeColor="text1"/>
                <w:sz w:val="20"/>
                <w:szCs w:val="20"/>
              </w:rPr>
            </w:pPr>
            <w:r>
              <w:rPr>
                <w:rFonts w:hint="eastAsia"/>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1"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rPr>
                <w:b/>
                <w:sz w:val="20"/>
                <w:szCs w:val="20"/>
              </w:rPr>
            </w:pPr>
            <w:r>
              <w:rPr>
                <w:rFonts w:hint="eastAsia"/>
                <w:b/>
                <w:sz w:val="20"/>
                <w:szCs w:val="20"/>
              </w:rPr>
              <w:t>暂无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1"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tcPr>
          <w:p>
            <w:pPr>
              <w:widowControl/>
              <w:spacing w:line="240" w:lineRule="exact"/>
              <w:rPr>
                <w:b/>
                <w:color w:val="000000" w:themeColor="text1"/>
                <w:sz w:val="20"/>
                <w:szCs w:val="20"/>
              </w:rPr>
            </w:pPr>
            <w:r>
              <w:rPr>
                <w:rFonts w:hint="eastAsia"/>
                <w:b/>
                <w:color w:val="000000" w:themeColor="text1"/>
                <w:sz w:val="20"/>
                <w:szCs w:val="20"/>
              </w:rPr>
              <w:t>9. 其他能够标明组织绩效、信誉的证据/信息：</w:t>
            </w:r>
          </w:p>
          <w:p>
            <w:pPr>
              <w:widowControl/>
              <w:spacing w:line="240" w:lineRule="exact"/>
              <w:rPr>
                <w:b/>
                <w:sz w:val="20"/>
                <w:szCs w:val="20"/>
              </w:rPr>
            </w:pPr>
            <w:r>
              <w:rPr>
                <w:rFonts w:hint="eastAsia"/>
                <w:b/>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spacing w:line="400" w:lineRule="exact"/>
              <w:ind w:firstLine="420" w:firstLineChars="200"/>
              <w:rPr>
                <w:rFonts w:ascii="宋体" w:hAnsi="宋体"/>
                <w:szCs w:val="21"/>
              </w:rPr>
            </w:pPr>
            <w:r>
              <w:rPr>
                <w:rFonts w:hint="eastAsia" w:ascii="宋体" w:hAnsi="宋体" w:cs="宋体"/>
                <w:color w:val="000000" w:themeColor="text1"/>
              </w:rPr>
              <w:t>公司明确通过对内、外审核结果、管理评审输出、监测和测量等活动中识别出</w:t>
            </w:r>
            <w:r>
              <w:rPr>
                <w:rFonts w:hint="eastAsia" w:ascii="宋体" w:hAnsi="宋体"/>
                <w:color w:val="000000" w:themeColor="text1"/>
              </w:rPr>
              <w:t>在产品/服务、过程、管理体系等方面</w:t>
            </w:r>
            <w:r>
              <w:rPr>
                <w:rFonts w:hint="eastAsia" w:ascii="宋体" w:hAnsi="宋体" w:cs="宋体"/>
                <w:color w:val="000000" w:themeColor="text1"/>
              </w:rPr>
              <w:t>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hint="eastAsia" w:ascii="宋体" w:hAnsi="宋体"/>
                <w:szCs w:val="21"/>
              </w:rPr>
              <w:t>纠正措施的有效性需要改善。</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240" w:lineRule="exact"/>
              <w:rPr>
                <w:b/>
                <w:color w:val="000000" w:themeColor="text1"/>
                <w:sz w:val="20"/>
                <w:szCs w:val="20"/>
              </w:rPr>
            </w:pPr>
            <w:r>
              <w:rPr>
                <w:rFonts w:hint="eastAsia"/>
                <w:b/>
                <w:color w:val="000000" w:themeColor="text1"/>
                <w:spacing w:val="-2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6"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3. 一阶段提出问题的整改情况?</w:t>
            </w:r>
          </w:p>
          <w:p>
            <w:pPr>
              <w:spacing w:line="240" w:lineRule="exact"/>
              <w:rPr>
                <w:b/>
                <w:color w:val="000000" w:themeColor="text1"/>
                <w:spacing w:val="-20"/>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4.创新情况</w:t>
            </w: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1"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Cs w:val="21"/>
              </w:rPr>
            </w:pPr>
            <w:r>
              <w:rPr>
                <w:rFonts w:hint="eastAsia"/>
                <w:b/>
                <w:color w:val="000000" w:themeColor="text1"/>
                <w:szCs w:val="21"/>
              </w:rPr>
              <w:t>5. 上次不符合的整改情况（再认证填写）</w:t>
            </w:r>
          </w:p>
          <w:p>
            <w:pPr>
              <w:spacing w:line="240" w:lineRule="exact"/>
              <w:rPr>
                <w:b/>
                <w:color w:val="000000" w:themeColor="text1"/>
                <w:szCs w:val="21"/>
              </w:rPr>
            </w:pPr>
            <w:r>
              <w:rPr>
                <w:rFonts w:hint="eastAsia"/>
                <w:b/>
                <w:color w:val="000000" w:themeColor="text1"/>
                <w:szCs w:val="21"/>
              </w:rPr>
              <w:t>上次不符合Q8.5.2本次审核得到改进</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574" w:leftChars="-373" w:hanging="209" w:hangingChars="99"/>
        <w:rPr>
          <w:b/>
        </w:rPr>
      </w:pPr>
      <w:r>
        <w:rPr>
          <w:rFonts w:hint="eastAsia"/>
          <w:b/>
          <w:color w:val="000000" w:themeColor="text1"/>
        </w:rPr>
        <w:t>1</w:t>
      </w:r>
      <w:r>
        <w:rPr>
          <w:rFonts w:hint="eastAsia"/>
          <w:b/>
        </w:rPr>
        <w:t>. 本次审核共开具不符合项报告2项；其中</w:t>
      </w:r>
      <w:r>
        <w:rPr>
          <w:b/>
        </w:rPr>
        <w:pict>
          <v:line id="直接连接符 1" o:spid="_x0000_s1029" o:spt="20" style="position:absolute;left:0pt;margin-left:210pt;margin-top:16.2pt;height:0pt;width:0pt;z-index:251659264;mso-width-relative:page;mso-height-relative:page;" coordsize="21600,21600" o:allowincell="f">
            <v:path arrowok="t"/>
            <v:fill focussize="0,0"/>
            <v:stroke/>
            <v:imagedata o:title=""/>
            <o:lock v:ext="edit"/>
          </v:line>
        </w:pict>
      </w:r>
      <w:r>
        <w:rPr>
          <w:rFonts w:hint="eastAsia"/>
          <w:b/>
        </w:rPr>
        <w:t>严重不符合0项，一般不符合2项，分布在部门生产部条款Q7.1.5和综合部S9.1.1，分布见附件。（Q/J/E/S分开填写）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可能影响本次审核结论可靠性的因素：无</w:t>
      </w:r>
    </w:p>
    <w:tbl>
      <w:tblPr>
        <w:tblStyle w:val="7"/>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ind w:left="-191" w:leftChars="-337" w:hanging="517" w:hangingChars="271"/>
        <w:rPr>
          <w:b/>
          <w:color w:val="000000" w:themeColor="text1"/>
          <w:spacing w:val="-10"/>
          <w:szCs w:val="21"/>
        </w:rPr>
      </w:pPr>
    </w:p>
    <w:p>
      <w:pPr>
        <w:snapToGrid w:val="0"/>
        <w:spacing w:line="360" w:lineRule="auto"/>
        <w:rPr>
          <w:b/>
          <w:color w:val="000000" w:themeColor="text1"/>
          <w:spacing w:val="-10"/>
          <w:szCs w:val="21"/>
        </w:rPr>
      </w:pPr>
    </w:p>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 w:leftChars="-337" w:hanging="707" w:hangingChars="271"/>
        <w:rPr>
          <w:rFonts w:ascii="宋体" w:hAnsi="宋体"/>
          <w:b/>
          <w:color w:val="000000" w:themeColor="text1"/>
          <w:szCs w:val="21"/>
        </w:rPr>
      </w:pPr>
      <w:r>
        <w:rPr>
          <w:rFonts w:hint="eastAsia"/>
          <w:b/>
          <w:sz w:val="26"/>
          <w:szCs w:val="26"/>
        </w:rPr>
        <w:t>■</w:t>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6"/>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5"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1. ■</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pacing w:val="-10"/>
                <w:sz w:val="22"/>
                <w:szCs w:val="22"/>
              </w:rPr>
              <w:t>GJB   ■</w:t>
            </w:r>
            <w:r>
              <w:rPr>
                <w:rFonts w:hint="eastAsia"/>
                <w:b/>
                <w:color w:val="000000" w:themeColor="text1"/>
                <w:sz w:val="22"/>
                <w:szCs w:val="22"/>
              </w:rPr>
              <w:t>EMS ■OHSMS的适宜性、充分性、运行有效性，自我完善机制等。管理体系满足适用要求和实现预期结果的能力。</w:t>
            </w:r>
          </w:p>
          <w:p>
            <w:pPr>
              <w:spacing w:line="280" w:lineRule="exact"/>
              <w:ind w:left="221" w:hanging="221" w:hangingChars="100"/>
              <w:rPr>
                <w:b/>
                <w:color w:val="000000" w:themeColor="text1"/>
                <w:sz w:val="22"/>
                <w:szCs w:val="22"/>
              </w:rPr>
            </w:pPr>
            <w:r>
              <w:rPr>
                <w:rFonts w:hint="eastAsia"/>
                <w:b/>
                <w:color w:val="000000" w:themeColor="text1"/>
                <w:sz w:val="22"/>
                <w:szCs w:val="22"/>
              </w:rPr>
              <w:t>（组织实施“过程控制”，满足标准要求和目标，向顾客提供稳定、合格产品，满足适用的质量/环境/职业健康安全法规要求，防止污染、重大事故和持续改进的情况以及对周边环境产生的影响，措施的有效性）</w:t>
            </w:r>
          </w:p>
          <w:p>
            <w:pPr>
              <w:spacing w:line="280" w:lineRule="exact"/>
              <w:ind w:left="221" w:hanging="221" w:hangingChars="100"/>
              <w:rPr>
                <w:b/>
                <w:color w:val="000000" w:themeColor="text1"/>
                <w:sz w:val="22"/>
                <w:szCs w:val="22"/>
              </w:rPr>
            </w:pPr>
          </w:p>
          <w:p>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 w:val="22"/>
                <w:szCs w:val="22"/>
              </w:rPr>
              <w:t xml:space="preserve">□GJB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OHSMS持续的符合性及运行的有效性，以及与认证范围的持续相关性和适宜性及自我完善机制等。</w:t>
            </w:r>
          </w:p>
          <w:p>
            <w:pPr>
              <w:spacing w:line="240" w:lineRule="exact"/>
              <w:rPr>
                <w:b/>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7" w:hRule="atLeast"/>
        </w:trPr>
        <w:tc>
          <w:tcPr>
            <w:tcW w:w="10080" w:type="dxa"/>
          </w:tcPr>
          <w:p>
            <w:pPr>
              <w:rPr>
                <w:b/>
                <w:color w:val="000000" w:themeColor="text1"/>
              </w:rPr>
            </w:pPr>
            <w:r>
              <w:rPr>
                <w:rFonts w:hint="eastAsia"/>
                <w:b/>
                <w:color w:val="000000" w:themeColor="text1"/>
              </w:rPr>
              <w:t>2.对审核范围适宜性结论</w:t>
            </w:r>
          </w:p>
          <w:p>
            <w:pPr>
              <w:rPr>
                <w:b/>
                <w:color w:val="000000" w:themeColor="text1"/>
              </w:rPr>
            </w:pPr>
            <w:r>
              <w:rPr>
                <w:rFonts w:hint="eastAsia"/>
                <w:b/>
                <w:sz w:val="26"/>
                <w:szCs w:val="26"/>
              </w:rPr>
              <w:t>■</w:t>
            </w:r>
            <w:r>
              <w:rPr>
                <w:rFonts w:hint="eastAsia"/>
                <w:b/>
                <w:color w:val="000000" w:themeColor="text1"/>
              </w:rPr>
              <w:t>审核范围适宜，与申请范围一致</w:t>
            </w:r>
          </w:p>
          <w:p>
            <w:pPr>
              <w:rPr>
                <w:b/>
                <w:color w:val="000000" w:themeColor="text1"/>
              </w:rPr>
            </w:pPr>
            <w:r>
              <w:rPr>
                <w:rFonts w:hint="eastAsia"/>
                <w:b/>
                <w:color w:val="000000" w:themeColor="text1"/>
                <w:spacing w:val="-10"/>
                <w:szCs w:val="21"/>
              </w:rPr>
              <w:t>□</w:t>
            </w:r>
            <w:r>
              <w:rPr>
                <w:rFonts w:hint="eastAsia"/>
                <w:b/>
                <w:color w:val="000000" w:themeColor="text1"/>
              </w:rPr>
              <w:t>审核范围变更，</w:t>
            </w:r>
          </w:p>
          <w:p>
            <w:pPr>
              <w:rPr>
                <w:sz w:val="20"/>
              </w:rPr>
            </w:pPr>
            <w:r>
              <w:rPr>
                <w:sz w:val="20"/>
              </w:rPr>
              <w:t>Q：塑料包装桶的生产（需生产许可证的除外）</w:t>
            </w:r>
          </w:p>
          <w:p>
            <w:pPr>
              <w:rPr>
                <w:sz w:val="20"/>
              </w:rPr>
            </w:pPr>
            <w:r>
              <w:rPr>
                <w:sz w:val="20"/>
              </w:rPr>
              <w:t>E：塑料包装桶的生产（需生产许可证的除外）所涉及场所的相关环境管理活动</w:t>
            </w:r>
          </w:p>
          <w:p>
            <w:pPr>
              <w:spacing w:line="400" w:lineRule="exact"/>
              <w:jc w:val="left"/>
              <w:rPr>
                <w:b/>
                <w:color w:val="000000" w:themeColor="text1"/>
                <w:spacing w:val="-10"/>
                <w:sz w:val="22"/>
                <w:szCs w:val="22"/>
              </w:rPr>
            </w:pPr>
            <w:r>
              <w:rPr>
                <w:sz w:val="20"/>
              </w:rPr>
              <w:t>O：塑料包装桶的生产（需生产许可证的除外）所涉及场所的相关职业健康安全管理活动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5"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rPr>
              <w:t>□推荐认证注册(□QMS  □EMS   □OHSMS)</w:t>
            </w:r>
          </w:p>
          <w:p>
            <w:pPr>
              <w:rPr>
                <w:b/>
                <w:color w:val="000000" w:themeColor="text1"/>
              </w:rPr>
            </w:pPr>
            <w:r>
              <w:rPr>
                <w:rFonts w:hint="eastAsia"/>
                <w:b/>
                <w:color w:val="000000" w:themeColor="text1"/>
              </w:rPr>
              <w:t>■在完成纠正措施后推荐认证注册( □QMS     ■EMS   ■OHSMS)</w:t>
            </w:r>
          </w:p>
          <w:p>
            <w:pPr>
              <w:rPr>
                <w:b/>
                <w:color w:val="000000" w:themeColor="text1"/>
              </w:rPr>
            </w:pPr>
            <w:r>
              <w:rPr>
                <w:rFonts w:hint="eastAsia"/>
                <w:b/>
                <w:color w:val="000000" w:themeColor="text1"/>
              </w:rPr>
              <w:t>□推荐保持认证注册(</w:t>
            </w:r>
            <w:r>
              <w:rPr>
                <w:rFonts w:hint="eastAsia"/>
                <w:b/>
                <w:color w:val="000000" w:themeColor="text1"/>
              </w:rPr>
              <w:sym w:font="Wingdings 2" w:char="00A3"/>
            </w:r>
            <w:r>
              <w:rPr>
                <w:rFonts w:hint="eastAsia"/>
                <w:b/>
                <w:color w:val="000000" w:themeColor="text1"/>
              </w:rPr>
              <w:t>QMS   □EMS   □OHSMS)，换发证书</w:t>
            </w:r>
          </w:p>
          <w:p>
            <w:pPr>
              <w:rPr>
                <w:b/>
                <w:color w:val="000000" w:themeColor="text1"/>
              </w:rPr>
            </w:pPr>
            <w:r>
              <w:rPr>
                <w:rFonts w:hint="eastAsia"/>
                <w:b/>
                <w:color w:val="000000" w:themeColor="text1"/>
              </w:rPr>
              <w:t xml:space="preserve">■(在完成纠正措施后推荐保持认证注册(■QMS  □EMS   </w:t>
            </w:r>
            <w:r>
              <w:rPr>
                <w:rFonts w:hint="eastAsia"/>
                <w:b/>
                <w:color w:val="000000" w:themeColor="text1"/>
              </w:rPr>
              <w:sym w:font="Wingdings 2" w:char="00A3"/>
            </w:r>
            <w:r>
              <w:rPr>
                <w:rFonts w:hint="eastAsia"/>
                <w:b/>
                <w:color w:val="000000" w:themeColor="text1"/>
              </w:rPr>
              <w:t>OHSMS)</w:t>
            </w:r>
          </w:p>
          <w:p>
            <w:pPr>
              <w:rPr>
                <w:b/>
                <w:color w:val="000000" w:themeColor="text1"/>
              </w:rPr>
            </w:pPr>
            <w:r>
              <w:rPr>
                <w:rFonts w:hint="eastAsia"/>
                <w:b/>
                <w:color w:val="000000" w:themeColor="text1"/>
              </w:rPr>
              <w:t>□推荐扩大范围(□QMS  □EMS   □OHSMS)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080" w:type="dxa"/>
            <w:tcBorders>
              <w:top w:val="single" w:color="auto" w:sz="4" w:space="0"/>
            </w:tcBorders>
          </w:tcPr>
          <w:p>
            <w:pPr>
              <w:spacing w:line="360" w:lineRule="auto"/>
              <w:rPr>
                <w:b/>
                <w:color w:val="000000" w:themeColor="text1"/>
              </w:rPr>
            </w:pPr>
          </w:p>
        </w:tc>
      </w:tr>
    </w:tbl>
    <w:p>
      <w:pPr>
        <w:pStyle w:val="5"/>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firstLine="422" w:firstLineChars="200"/>
        <w:rPr>
          <w:b/>
          <w:color w:val="000000" w:themeColor="text1"/>
        </w:rPr>
      </w:pPr>
      <w:r>
        <w:rPr>
          <w:rFonts w:hint="eastAsia"/>
          <w:b/>
          <w:color w:val="000000" w:themeColor="text1"/>
        </w:rPr>
        <w:t>一般不符合报告在30天/严重不符合在60天天针对不符合原因制定并实施纠正措施。验证方式见不符合项报告。</w:t>
      </w:r>
    </w:p>
    <w:p>
      <w:pPr>
        <w:spacing w:beforeLines="50" w:afterLines="50"/>
        <w:ind w:left="1" w:leftChars="-405" w:hanging="851" w:hangingChars="326"/>
        <w:rPr>
          <w:b/>
          <w:color w:val="000000" w:themeColor="text1"/>
          <w:sz w:val="26"/>
          <w:szCs w:val="26"/>
        </w:rPr>
      </w:pPr>
      <w:r>
        <w:rPr>
          <w:rFonts w:hint="eastAsia"/>
          <w:b/>
          <w:color w:val="000000" w:themeColor="text1"/>
          <w:sz w:val="26"/>
          <w:szCs w:val="26"/>
        </w:rPr>
        <w:t>十三、</w:t>
      </w:r>
      <w:r>
        <w:rPr>
          <w:rFonts w:hint="eastAsia" w:ascii="仿宋" w:hAnsi="仿宋" w:eastAsia="仿宋" w:cstheme="minorBidi"/>
          <w:color w:val="000000" w:themeColor="text1"/>
          <w:kern w:val="24"/>
          <w:sz w:val="28"/>
          <w:szCs w:val="28"/>
        </w:rPr>
        <w:t xml:space="preserve"> 任何影响审核方案的重要事项</w:t>
      </w:r>
      <w:r>
        <w:rPr>
          <w:rFonts w:hint="eastAsia"/>
          <w:b/>
          <w:color w:val="000000" w:themeColor="text1"/>
          <w:sz w:val="26"/>
          <w:szCs w:val="26"/>
        </w:rPr>
        <w:t>：无</w:t>
      </w:r>
    </w:p>
    <w:p>
      <w:pPr>
        <w:spacing w:beforeLines="50" w:afterLines="50"/>
        <w:ind w:left="-326" w:leftChars="-405" w:hanging="524" w:hangingChars="326"/>
        <w:rPr>
          <w:b/>
          <w:color w:val="000000" w:themeColor="text1"/>
          <w:sz w:val="16"/>
          <w:szCs w:val="16"/>
        </w:rPr>
      </w:pPr>
    </w:p>
    <w:p>
      <w:pPr>
        <w:snapToGrid w:val="0"/>
        <w:rPr>
          <w:b/>
          <w:bCs/>
          <w:color w:val="000000" w:themeColor="text1"/>
          <w:szCs w:val="28"/>
          <w:u w:val="single"/>
        </w:rPr>
      </w:pPr>
    </w:p>
    <w:p>
      <w:pPr>
        <w:snapToGrid w:val="0"/>
        <w:spacing w:afterLines="50" w:line="360" w:lineRule="auto"/>
        <w:ind w:left="1" w:leftChars="-405" w:hanging="851" w:hangingChars="326"/>
        <w:rPr>
          <w:b/>
          <w:color w:val="000000" w:themeColor="text1"/>
          <w:sz w:val="16"/>
          <w:szCs w:val="16"/>
        </w:rPr>
      </w:pPr>
      <w:r>
        <w:rPr>
          <w:rFonts w:hint="eastAsia"/>
          <w:b/>
          <w:color w:val="000000" w:themeColor="text1"/>
          <w:sz w:val="26"/>
          <w:szCs w:val="26"/>
        </w:rPr>
        <w:drawing>
          <wp:anchor distT="0" distB="0" distL="114300" distR="114300" simplePos="0" relativeHeight="251661312" behindDoc="0" locked="0" layoutInCell="1" allowOverlap="1">
            <wp:simplePos x="0" y="0"/>
            <wp:positionH relativeFrom="column">
              <wp:posOffset>1670050</wp:posOffset>
            </wp:positionH>
            <wp:positionV relativeFrom="paragraph">
              <wp:posOffset>280670</wp:posOffset>
            </wp:positionV>
            <wp:extent cx="367030" cy="345440"/>
            <wp:effectExtent l="19050" t="0" r="0" b="0"/>
            <wp:wrapNone/>
            <wp:docPr id="13" name="图片 1" descr="C:\Users\24309\Desktop\文平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 descr="C:\Users\24309\Desktop\文平1.jpg"/>
                    <pic:cNvPicPr>
                      <a:picLocks noChangeAspect="1" noChangeArrowheads="1"/>
                    </pic:cNvPicPr>
                  </pic:nvPicPr>
                  <pic:blipFill>
                    <a:blip r:embed="rId6" cstate="print"/>
                    <a:srcRect/>
                    <a:stretch>
                      <a:fillRect/>
                    </a:stretch>
                  </pic:blipFill>
                  <pic:spPr>
                    <a:xfrm>
                      <a:off x="0" y="0"/>
                      <a:ext cx="367030" cy="345440"/>
                    </a:xfrm>
                    <a:prstGeom prst="rect">
                      <a:avLst/>
                    </a:prstGeom>
                    <a:noFill/>
                    <a:ln w="9525">
                      <a:noFill/>
                      <a:miter lim="800000"/>
                      <a:headEnd/>
                      <a:tailEnd/>
                    </a:ln>
                  </pic:spPr>
                </pic:pic>
              </a:graphicData>
            </a:graphic>
          </wp:anchor>
        </w:drawing>
      </w:r>
      <w:r>
        <w:rPr>
          <w:rFonts w:hint="eastAsia"/>
          <w:b/>
          <w:color w:val="000000" w:themeColor="text1"/>
          <w:sz w:val="26"/>
          <w:szCs w:val="26"/>
        </w:rPr>
        <w:t>十四、审核组签字</w:t>
      </w:r>
    </w:p>
    <w:p>
      <w:pPr>
        <w:snapToGrid w:val="0"/>
        <w:spacing w:afterLines="50" w:line="360" w:lineRule="auto"/>
        <w:ind w:left="1" w:leftChars="-32" w:hanging="68" w:hangingChars="26"/>
        <w:rPr>
          <w:b/>
          <w:color w:val="000000" w:themeColor="text1"/>
          <w:sz w:val="26"/>
          <w:szCs w:val="26"/>
        </w:rPr>
      </w:pPr>
      <w:r>
        <w:rPr>
          <w:rFonts w:hint="eastAsia"/>
          <w:b/>
          <w:color w:val="000000" w:themeColor="text1"/>
          <w:sz w:val="26"/>
          <w:szCs w:val="26"/>
        </w:rPr>
        <w:t>审核组组长（签名）：</w:t>
      </w:r>
    </w:p>
    <w:p>
      <w:pPr>
        <w:snapToGrid w:val="0"/>
        <w:spacing w:beforeLines="50" w:line="360" w:lineRule="auto"/>
        <w:ind w:firstLine="527" w:firstLineChars="250"/>
        <w:rPr>
          <w:b/>
          <w:color w:val="000000" w:themeColor="text1"/>
        </w:rPr>
      </w:pPr>
      <w:r>
        <w:rPr>
          <w:b/>
          <w:color w:val="000000" w:themeColor="text1"/>
        </w:rPr>
        <w:drawing>
          <wp:anchor distT="0" distB="0" distL="114300" distR="114300" simplePos="0" relativeHeight="251665408" behindDoc="0" locked="0" layoutInCell="1" allowOverlap="1">
            <wp:simplePos x="0" y="0"/>
            <wp:positionH relativeFrom="column">
              <wp:posOffset>2807970</wp:posOffset>
            </wp:positionH>
            <wp:positionV relativeFrom="paragraph">
              <wp:posOffset>49530</wp:posOffset>
            </wp:positionV>
            <wp:extent cx="590550" cy="426720"/>
            <wp:effectExtent l="19050" t="0" r="0" b="0"/>
            <wp:wrapNone/>
            <wp:docPr id="30" name="图片 1" descr="C:\Users\24309\AppData\Local\Temp\WeChat Files\5990baca09647c352f1321b31faa90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1" descr="C:\Users\24309\AppData\Local\Temp\WeChat Files\5990baca09647c352f1321b31faa90a.jpg"/>
                    <pic:cNvPicPr>
                      <a:picLocks noChangeAspect="1" noChangeArrowheads="1"/>
                    </pic:cNvPicPr>
                  </pic:nvPicPr>
                  <pic:blipFill>
                    <a:blip r:embed="rId7" cstate="print"/>
                    <a:srcRect/>
                    <a:stretch>
                      <a:fillRect/>
                    </a:stretch>
                  </pic:blipFill>
                  <pic:spPr>
                    <a:xfrm>
                      <a:off x="0" y="0"/>
                      <a:ext cx="590550" cy="426720"/>
                    </a:xfrm>
                    <a:prstGeom prst="rect">
                      <a:avLst/>
                    </a:prstGeom>
                    <a:noFill/>
                    <a:ln w="9525">
                      <a:noFill/>
                      <a:miter lim="800000"/>
                      <a:headEnd/>
                      <a:tailEnd/>
                    </a:ln>
                  </pic:spPr>
                </pic:pic>
              </a:graphicData>
            </a:graphic>
          </wp:anchor>
        </w:drawing>
      </w:r>
      <w:r>
        <w:rPr>
          <w:b/>
          <w:color w:val="000000" w:themeColor="text1"/>
        </w:rPr>
        <w:drawing>
          <wp:anchor distT="0" distB="0" distL="114300" distR="114300" simplePos="0" relativeHeight="251664384" behindDoc="0" locked="0" layoutInCell="1" allowOverlap="1">
            <wp:simplePos x="0" y="0"/>
            <wp:positionH relativeFrom="column">
              <wp:posOffset>2289810</wp:posOffset>
            </wp:positionH>
            <wp:positionV relativeFrom="paragraph">
              <wp:posOffset>49530</wp:posOffset>
            </wp:positionV>
            <wp:extent cx="417830" cy="325120"/>
            <wp:effectExtent l="19050" t="0" r="1270" b="0"/>
            <wp:wrapNone/>
            <wp:docPr id="5" name="图片 1"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C:\Users\Administrator\Desktop\签名.jpg"/>
                    <pic:cNvPicPr>
                      <a:picLocks noChangeAspect="1" noChangeArrowheads="1"/>
                    </pic:cNvPicPr>
                  </pic:nvPicPr>
                  <pic:blipFill>
                    <a:blip r:embed="rId8" cstate="print"/>
                    <a:srcRect/>
                    <a:stretch>
                      <a:fillRect/>
                    </a:stretch>
                  </pic:blipFill>
                  <pic:spPr>
                    <a:xfrm>
                      <a:off x="0" y="0"/>
                      <a:ext cx="417830" cy="325120"/>
                    </a:xfrm>
                    <a:prstGeom prst="rect">
                      <a:avLst/>
                    </a:prstGeom>
                    <a:noFill/>
                    <a:ln w="9525">
                      <a:noFill/>
                      <a:miter lim="800000"/>
                      <a:headEnd/>
                      <a:tailEnd/>
                    </a:ln>
                  </pic:spPr>
                </pic:pic>
              </a:graphicData>
            </a:graphic>
          </wp:anchor>
        </w:drawing>
      </w:r>
      <w:r>
        <w:rPr>
          <w:b/>
          <w:color w:val="000000" w:themeColor="text1"/>
        </w:rPr>
        <w:drawing>
          <wp:anchor distT="0" distB="0" distL="114300" distR="114300" simplePos="0" relativeHeight="251663360" behindDoc="0" locked="0" layoutInCell="1" allowOverlap="1">
            <wp:simplePos x="0" y="0"/>
            <wp:positionH relativeFrom="column">
              <wp:posOffset>1598930</wp:posOffset>
            </wp:positionH>
            <wp:positionV relativeFrom="paragraph">
              <wp:posOffset>181610</wp:posOffset>
            </wp:positionV>
            <wp:extent cx="499110" cy="314960"/>
            <wp:effectExtent l="19050" t="0" r="0" b="0"/>
            <wp:wrapNone/>
            <wp:docPr id="4" name="图片 2"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C:\Users\Administrator\Desktop\新文档 2020-01-09 10.59.53_副本.jpg"/>
                    <pic:cNvPicPr>
                      <a:picLocks noChangeAspect="1" noChangeArrowheads="1"/>
                    </pic:cNvPicPr>
                  </pic:nvPicPr>
                  <pic:blipFill>
                    <a:blip r:embed="rId9" cstate="print"/>
                    <a:srcRect/>
                    <a:stretch>
                      <a:fillRect/>
                    </a:stretch>
                  </pic:blipFill>
                  <pic:spPr>
                    <a:xfrm>
                      <a:off x="0" y="0"/>
                      <a:ext cx="499110" cy="314960"/>
                    </a:xfrm>
                    <a:prstGeom prst="rect">
                      <a:avLst/>
                    </a:prstGeom>
                    <a:noFill/>
                    <a:ln w="9525">
                      <a:noFill/>
                      <a:miter lim="800000"/>
                      <a:headEnd/>
                      <a:tailEnd/>
                    </a:ln>
                  </pic:spPr>
                </pic:pic>
              </a:graphicData>
            </a:graphic>
          </wp:anchor>
        </w:drawing>
      </w:r>
    </w:p>
    <w:p>
      <w:pPr>
        <w:snapToGrid w:val="0"/>
        <w:spacing w:afterLines="50" w:line="360" w:lineRule="auto"/>
        <w:ind w:left="1" w:leftChars="-32" w:hanging="68" w:hangingChars="26"/>
        <w:rPr>
          <w:b/>
          <w:color w:val="000000" w:themeColor="text1"/>
          <w:sz w:val="26"/>
          <w:szCs w:val="26"/>
        </w:rPr>
      </w:pPr>
      <w:r>
        <w:rPr>
          <w:rFonts w:hint="eastAsia"/>
          <w:b/>
          <w:color w:val="000000" w:themeColor="text1"/>
          <w:sz w:val="26"/>
          <w:szCs w:val="26"/>
        </w:rPr>
        <w:t>审核组组员（签名）：</w:t>
      </w:r>
    </w:p>
    <w:p>
      <w:pPr>
        <w:snapToGrid w:val="0"/>
        <w:spacing w:line="360" w:lineRule="auto"/>
        <w:ind w:firstLine="3080" w:firstLineChars="1461"/>
        <w:rPr>
          <w:b/>
          <w:color w:val="000000" w:themeColor="text1"/>
          <w:sz w:val="16"/>
          <w:szCs w:val="16"/>
        </w:rPr>
      </w:pPr>
      <w:r>
        <w:rPr>
          <w:rFonts w:hint="eastAsia"/>
          <w:b/>
          <w:color w:val="000000" w:themeColor="text1"/>
        </w:rPr>
        <w:t>日期    2021</w:t>
      </w:r>
      <w:r>
        <w:rPr>
          <w:rFonts w:hint="eastAsia" w:asciiTheme="minorEastAsia" w:hAnsiTheme="minorEastAsia" w:eastAsiaTheme="minorEastAsia"/>
          <w:b/>
          <w:color w:val="000000" w:themeColor="text1"/>
        </w:rPr>
        <w:t>年5月31日</w:t>
      </w:r>
    </w:p>
    <w:p>
      <w:pPr>
        <w:spacing w:beforeLines="50" w:afterLines="50"/>
        <w:ind w:left="1" w:leftChars="-405" w:hanging="851" w:hangingChars="326"/>
        <w:rPr>
          <w:b/>
          <w:sz w:val="26"/>
          <w:szCs w:val="26"/>
        </w:rPr>
      </w:pPr>
      <w:r>
        <w:rPr>
          <w:rFonts w:hint="eastAsia"/>
          <w:b/>
          <w:color w:val="000000" w:themeColor="text1"/>
          <w:sz w:val="26"/>
          <w:szCs w:val="26"/>
        </w:rPr>
        <w:t>十五、纠正</w:t>
      </w:r>
      <w:r>
        <w:rPr>
          <w:rFonts w:hint="eastAsia"/>
          <w:b/>
          <w:sz w:val="26"/>
          <w:szCs w:val="26"/>
        </w:rPr>
        <w:t>措施验证结论：</w:t>
      </w:r>
    </w:p>
    <w:p>
      <w:pPr>
        <w:snapToGrid w:val="0"/>
        <w:spacing w:beforeLines="50" w:afterLines="50" w:line="360" w:lineRule="auto"/>
        <w:ind w:leftChars="-202" w:hanging="424" w:hangingChars="201"/>
        <w:rPr>
          <w:b/>
          <w:sz w:val="26"/>
          <w:szCs w:val="26"/>
        </w:rPr>
      </w:pPr>
      <w:r>
        <w:rPr>
          <w:rFonts w:hint="eastAsia"/>
          <w:b/>
          <w:bCs/>
          <w:szCs w:val="21"/>
        </w:rPr>
        <w:t>1.  审核中发现的</w:t>
      </w:r>
      <w:r>
        <w:rPr>
          <w:rFonts w:hint="eastAsia"/>
          <w:b/>
        </w:rPr>
        <w:t>■</w:t>
      </w:r>
      <w:r>
        <w:rPr>
          <w:rFonts w:hint="eastAsia"/>
          <w:b/>
          <w:szCs w:val="21"/>
        </w:rPr>
        <w:t>QMS(  1 )个一般不符合，( 0 )个严重不符合，</w:t>
      </w:r>
      <w:r>
        <w:rPr>
          <w:rFonts w:hint="eastAsia"/>
          <w:b/>
        </w:rPr>
        <w:t>■</w:t>
      </w:r>
      <w:r>
        <w:rPr>
          <w:rFonts w:hint="eastAsia"/>
          <w:b/>
          <w:szCs w:val="21"/>
        </w:rPr>
        <w:t>验证合格</w:t>
      </w:r>
      <w:r>
        <w:rPr>
          <w:rFonts w:hint="eastAsia"/>
          <w:b/>
          <w:spacing w:val="-10"/>
          <w:szCs w:val="21"/>
        </w:rPr>
        <w:t>□</w:t>
      </w:r>
      <w:r>
        <w:rPr>
          <w:rFonts w:hint="eastAsia"/>
          <w:b/>
          <w:szCs w:val="21"/>
        </w:rPr>
        <w:t>仍有问题</w:t>
      </w:r>
    </w:p>
    <w:p>
      <w:pPr>
        <w:spacing w:line="360" w:lineRule="auto"/>
        <w:rPr>
          <w:b/>
          <w:szCs w:val="21"/>
        </w:rPr>
      </w:pPr>
      <w:r>
        <w:rPr>
          <w:rFonts w:hint="eastAsia"/>
          <w:b/>
          <w:bCs/>
          <w:szCs w:val="21"/>
        </w:rPr>
        <w:t>审核中发现的□</w:t>
      </w:r>
      <w:r>
        <w:rPr>
          <w:rFonts w:hint="eastAsia"/>
          <w:b/>
          <w:szCs w:val="21"/>
        </w:rPr>
        <w:t>EMS(   )个一般不符合，(  )个严重不符合，□验证合格</w:t>
      </w:r>
      <w:r>
        <w:rPr>
          <w:rFonts w:hint="eastAsia"/>
          <w:b/>
          <w:spacing w:val="-10"/>
          <w:szCs w:val="21"/>
        </w:rPr>
        <w:t>□</w:t>
      </w:r>
      <w:r>
        <w:rPr>
          <w:rFonts w:hint="eastAsia"/>
          <w:b/>
          <w:szCs w:val="21"/>
        </w:rPr>
        <w:t>仍有问题</w:t>
      </w:r>
    </w:p>
    <w:p>
      <w:pPr>
        <w:spacing w:line="360" w:lineRule="auto"/>
        <w:rPr>
          <w:b/>
          <w:szCs w:val="21"/>
        </w:rPr>
      </w:pPr>
      <w:r>
        <w:rPr>
          <w:rFonts w:hint="eastAsia"/>
          <w:b/>
          <w:bCs/>
          <w:szCs w:val="21"/>
        </w:rPr>
        <w:t>审核中发现的</w:t>
      </w:r>
      <w:r>
        <w:rPr>
          <w:rFonts w:hint="eastAsia"/>
          <w:b/>
        </w:rPr>
        <w:t>■</w:t>
      </w:r>
      <w:r>
        <w:rPr>
          <w:rFonts w:hint="eastAsia"/>
          <w:b/>
          <w:szCs w:val="21"/>
        </w:rPr>
        <w:t>OHSMS(  1 )个一般不符合，( 0 )个严重不符合，</w:t>
      </w:r>
      <w:r>
        <w:rPr>
          <w:rFonts w:hint="eastAsia"/>
          <w:b/>
        </w:rPr>
        <w:t>■</w:t>
      </w:r>
      <w:r>
        <w:rPr>
          <w:rFonts w:hint="eastAsia"/>
          <w:b/>
          <w:szCs w:val="21"/>
        </w:rPr>
        <w:t>验证合格</w:t>
      </w:r>
      <w:r>
        <w:rPr>
          <w:rFonts w:hint="eastAsia"/>
          <w:b/>
          <w:spacing w:val="-10"/>
          <w:szCs w:val="21"/>
        </w:rPr>
        <w:t>□</w:t>
      </w:r>
      <w:r>
        <w:rPr>
          <w:rFonts w:hint="eastAsia"/>
          <w:b/>
          <w:szCs w:val="21"/>
        </w:rPr>
        <w:t>仍有问题</w:t>
      </w:r>
    </w:p>
    <w:p>
      <w:pPr>
        <w:spacing w:line="360" w:lineRule="auto"/>
        <w:rPr>
          <w:b/>
          <w:szCs w:val="21"/>
          <w:u w:val="single"/>
        </w:rPr>
      </w:pPr>
      <w:r>
        <w:rPr>
          <w:rFonts w:hint="eastAsia"/>
          <w:b/>
          <w:szCs w:val="21"/>
        </w:rPr>
        <w:t>存在问题说明及意见：</w:t>
      </w:r>
    </w:p>
    <w:p>
      <w:pPr>
        <w:spacing w:afterLines="50"/>
        <w:ind w:firstLine="422" w:firstLineChars="200"/>
        <w:rPr>
          <w:b/>
          <w:szCs w:val="21"/>
        </w:rPr>
      </w:pPr>
    </w:p>
    <w:p>
      <w:pPr>
        <w:spacing w:afterLines="50"/>
        <w:ind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843" w:firstLineChars="400"/>
        <w:rPr>
          <w:b/>
          <w:color w:val="000000" w:themeColor="text1"/>
          <w:szCs w:val="21"/>
        </w:rPr>
      </w:pPr>
      <w:r>
        <w:rPr>
          <w:rFonts w:hint="eastAsia"/>
          <w:b/>
          <w:color w:val="000000" w:themeColor="text1"/>
          <w:szCs w:val="21"/>
        </w:rPr>
        <w:t>推荐注册（</w:t>
      </w:r>
      <w:r>
        <w:rPr>
          <w:rFonts w:hint="eastAsia"/>
          <w:b/>
          <w:color w:val="000000" w:themeColor="text1"/>
        </w:rPr>
        <w:t xml:space="preserve">■OHSMS、■EMS），保持认证注册(■QMS  ）  </w:t>
      </w:r>
      <w:r>
        <w:rPr>
          <w:rFonts w:hint="eastAsia"/>
          <w:b/>
          <w:color w:val="000000" w:themeColor="text1"/>
          <w:szCs w:val="21"/>
        </w:rPr>
        <w:sym w:font="Wingdings 2" w:char="00A3"/>
      </w:r>
      <w:r>
        <w:rPr>
          <w:rFonts w:hint="eastAsia"/>
          <w:b/>
          <w:color w:val="000000" w:themeColor="text1"/>
          <w:szCs w:val="21"/>
        </w:rPr>
        <w:t>不推荐注册</w:t>
      </w:r>
      <w:r>
        <w:rPr>
          <w:rFonts w:hint="eastAsia"/>
          <w:b/>
          <w:color w:val="000000" w:themeColor="text1"/>
          <w:spacing w:val="-10"/>
          <w:szCs w:val="21"/>
        </w:rPr>
        <w:t>□推荐重新认证</w:t>
      </w:r>
      <w:r>
        <w:rPr>
          <w:rFonts w:hint="eastAsia"/>
          <w:b/>
          <w:color w:val="000000" w:themeColor="text1"/>
          <w:szCs w:val="21"/>
        </w:rPr>
        <w:t>注册（再认证填写）</w:t>
      </w:r>
    </w:p>
    <w:p>
      <w:pPr>
        <w:spacing w:beforeLines="100" w:afterLines="50"/>
        <w:rPr>
          <w:b/>
          <w:color w:val="000000" w:themeColor="text1"/>
          <w:szCs w:val="21"/>
        </w:rPr>
      </w:pPr>
      <w:r>
        <w:rPr>
          <w:rFonts w:hint="eastAsia"/>
          <w:b/>
          <w:color w:val="000000" w:themeColor="text1"/>
          <w:szCs w:val="21"/>
        </w:rPr>
        <w:drawing>
          <wp:anchor distT="0" distB="0" distL="114300" distR="114300" simplePos="0" relativeHeight="251662336" behindDoc="0" locked="0" layoutInCell="1" allowOverlap="1">
            <wp:simplePos x="0" y="0"/>
            <wp:positionH relativeFrom="column">
              <wp:posOffset>838200</wp:posOffset>
            </wp:positionH>
            <wp:positionV relativeFrom="paragraph">
              <wp:posOffset>114935</wp:posOffset>
            </wp:positionV>
            <wp:extent cx="367030" cy="345440"/>
            <wp:effectExtent l="19050" t="0" r="0" b="0"/>
            <wp:wrapNone/>
            <wp:docPr id="3" name="图片 1" descr="C:\Users\24309\Desktop\文平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C:\Users\24309\Desktop\文平1.jpg"/>
                    <pic:cNvPicPr>
                      <a:picLocks noChangeAspect="1" noChangeArrowheads="1"/>
                    </pic:cNvPicPr>
                  </pic:nvPicPr>
                  <pic:blipFill>
                    <a:blip r:embed="rId6" cstate="print"/>
                    <a:srcRect/>
                    <a:stretch>
                      <a:fillRect/>
                    </a:stretch>
                  </pic:blipFill>
                  <pic:spPr>
                    <a:xfrm>
                      <a:off x="0" y="0"/>
                      <a:ext cx="367030" cy="345440"/>
                    </a:xfrm>
                    <a:prstGeom prst="rect">
                      <a:avLst/>
                    </a:prstGeom>
                    <a:noFill/>
                    <a:ln w="9525">
                      <a:noFill/>
                      <a:miter lim="800000"/>
                      <a:headEnd/>
                      <a:tailEnd/>
                    </a:ln>
                  </pic:spPr>
                </pic:pic>
              </a:graphicData>
            </a:graphic>
          </wp:anchor>
        </w:drawing>
      </w:r>
      <w:r>
        <w:rPr>
          <w:rFonts w:hint="eastAsia"/>
          <w:b/>
          <w:color w:val="000000" w:themeColor="text1"/>
          <w:szCs w:val="21"/>
        </w:rPr>
        <w:t xml:space="preserve">组长签字:                           </w:t>
      </w:r>
    </w:p>
    <w:p>
      <w:pPr>
        <w:spacing w:line="360" w:lineRule="auto"/>
        <w:ind w:leftChars="-405" w:hanging="850"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pPr>
        <w:numPr>
          <w:ilvl w:val="0"/>
          <w:numId w:val="3"/>
        </w:numPr>
        <w:spacing w:line="360" w:lineRule="auto"/>
        <w:ind w:left="0" w:leftChars="-405" w:hanging="850"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Chars="-405" w:hanging="850" w:hangingChars="403"/>
        <w:rPr>
          <w:b/>
          <w:color w:val="000000" w:themeColor="text1"/>
        </w:rPr>
      </w:pPr>
      <w:r>
        <w:rPr>
          <w:rFonts w:hint="eastAsia"/>
          <w:b/>
          <w:color w:val="000000" w:themeColor="text1"/>
        </w:rPr>
        <w:t>认证评定负责人：             日期：     年  月   日</w:t>
      </w:r>
    </w:p>
    <w:p>
      <w:pPr>
        <w:numPr>
          <w:ilvl w:val="0"/>
          <w:numId w:val="3"/>
        </w:numPr>
        <w:spacing w:line="360" w:lineRule="auto"/>
        <w:ind w:left="0" w:leftChars="-405" w:hanging="850"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Chars="-405" w:hanging="850" w:hangingChars="403"/>
        <w:rPr>
          <w:b/>
          <w:color w:val="000000" w:themeColor="text1"/>
        </w:rPr>
      </w:pPr>
      <w:r>
        <w:rPr>
          <w:rFonts w:hint="eastAsia"/>
          <w:b/>
          <w:color w:val="000000" w:themeColor="text1"/>
        </w:rPr>
        <w:t>批准人（总经理）：            日期：     年  月  日</w:t>
      </w:r>
    </w:p>
    <w:p>
      <w:pPr>
        <w:snapToGrid w:val="0"/>
        <w:spacing w:line="360" w:lineRule="auto"/>
        <w:ind w:left="202" w:leftChars="-405" w:hanging="1052" w:hangingChars="403"/>
        <w:rPr>
          <w:b/>
          <w:color w:val="000000" w:themeColor="text1"/>
          <w:szCs w:val="21"/>
          <w:u w:val="single"/>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(技术委员会填写)</w:t>
      </w:r>
    </w:p>
    <w:p>
      <w:pPr>
        <w:snapToGrid w:val="0"/>
        <w:spacing w:line="360" w:lineRule="auto"/>
        <w:ind w:left="738" w:hanging="738" w:hangingChars="350"/>
        <w:rPr>
          <w:b/>
          <w:color w:val="000000" w:themeColor="text1"/>
          <w:szCs w:val="21"/>
          <w:u w:val="single"/>
        </w:rPr>
      </w:pPr>
    </w:p>
    <w:p>
      <w:pPr>
        <w:spacing w:beforeLines="50" w:afterLines="50" w:line="240" w:lineRule="exact"/>
        <w:ind w:left="1" w:leftChars="-405" w:hanging="851"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Lines="20"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 xml:space="preserve">                           1份</w:t>
      </w:r>
    </w:p>
    <w:p>
      <w:pPr>
        <w:snapToGrid w:val="0"/>
        <w:spacing w:beforeLines="20"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Lines="50" w:afterLines="50" w:line="240" w:lineRule="exact"/>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二十、填表说明：</w:t>
      </w:r>
    </w:p>
    <w:p>
      <w:pPr>
        <w:spacing w:line="360" w:lineRule="auto"/>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360" w:lineRule="auto"/>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360" w:lineRule="auto"/>
        <w:ind w:left="-163" w:leftChars="-405" w:hanging="687" w:hangingChars="326"/>
        <w:rPr>
          <w:rFonts w:ascii="宋体" w:hAnsi="宋体"/>
          <w:b/>
          <w:color w:val="000000" w:themeColor="text1"/>
          <w:sz w:val="26"/>
          <w:szCs w:val="26"/>
        </w:rPr>
      </w:pPr>
      <w:r>
        <w:rPr>
          <w:rFonts w:hint="eastAsia"/>
          <w:b/>
          <w:bCs/>
          <w:color w:val="000000" w:themeColor="text1"/>
          <w:szCs w:val="21"/>
        </w:rPr>
        <w:t xml:space="preserve">5. 对子证书/证书附件要求的组织，除在末次会议上确定注册范围外，还须附上子证书/证书附件的文字表达。(可另附页)  </w:t>
      </w:r>
      <w:bookmarkStart w:id="22" w:name="_GoBack"/>
      <w:bookmarkEnd w:id="22"/>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楷体">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Arial">
    <w:panose1 w:val="020B0604020202020204"/>
    <w:charset w:val="00"/>
    <w:family w:val="swiss"/>
    <w:pitch w:val="default"/>
    <w:sig w:usb0="E0002EFF" w:usb1="C000785B" w:usb2="00000009" w:usb3="00000000" w:csb0="400001FF" w:csb1="FFFF0000"/>
  </w:font>
  <w:font w:name="楷体_GB2312">
    <w:altName w:val="楷体"/>
    <w:panose1 w:val="00000000000000000000"/>
    <w:charset w:val="86"/>
    <w:family w:val="modern"/>
    <w:pitch w:val="default"/>
    <w:sig w:usb0="00000000" w:usb1="00000000" w:usb2="00000010" w:usb3="00000000" w:csb0="00040000" w:csb1="0000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bookmarkStart w:id="21" w:name="_Hlk8555230"/>
    <w:r>
      <w:pict>
        <v:shape id="_x0000_s2049" o:spid="_x0000_s2049" o:spt="202" type="#_x0000_t202" style="position:absolute;left:0pt;margin-left:249.35pt;margin-top:5.25pt;height:20.2pt;width:164.1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5"/>
        <w:rFonts w:hint="default"/>
      </w:rPr>
      <w:t>北京国标联合认证有限公司</w:t>
    </w:r>
    <w:r>
      <w:rPr>
        <w:rStyle w:val="15"/>
        <w:rFonts w:hint="default"/>
      </w:rPr>
      <w:tab/>
    </w:r>
    <w:r>
      <w:rPr>
        <w:rStyle w:val="15"/>
        <w:rFonts w:hint="default"/>
      </w:rPr>
      <w:tab/>
    </w:r>
    <w:r>
      <w:rPr>
        <w:rStyle w:val="15"/>
        <w:rFonts w:hint="default"/>
      </w:rPr>
      <w:tab/>
    </w:r>
    <w:bookmarkEnd w:id="21"/>
  </w:p>
  <w:p>
    <w:pPr>
      <w:pStyle w:val="4"/>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8A07CB7"/>
    <w:multiLevelType w:val="multilevel"/>
    <w:tmpl w:val="68A07CB7"/>
    <w:lvl w:ilvl="0" w:tentative="0">
      <w:start w:val="1"/>
      <w:numFmt w:val="decimal"/>
      <w:lvlText w:val="%1．"/>
      <w:lvlJc w:val="left"/>
      <w:pPr>
        <w:tabs>
          <w:tab w:val="left" w:pos="960"/>
        </w:tabs>
        <w:ind w:left="960" w:hanging="360"/>
      </w:pPr>
      <w:rPr>
        <w:rFonts w:hint="default"/>
      </w:r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B66790"/>
    <w:rsid w:val="0000091C"/>
    <w:rsid w:val="001E24DF"/>
    <w:rsid w:val="003E29C0"/>
    <w:rsid w:val="004B0C47"/>
    <w:rsid w:val="005022DE"/>
    <w:rsid w:val="0058081E"/>
    <w:rsid w:val="00701F4A"/>
    <w:rsid w:val="00741DE0"/>
    <w:rsid w:val="00765F2E"/>
    <w:rsid w:val="00861ABC"/>
    <w:rsid w:val="00986B62"/>
    <w:rsid w:val="00AA03F5"/>
    <w:rsid w:val="00B66790"/>
    <w:rsid w:val="00D13D02"/>
    <w:rsid w:val="00F200EA"/>
    <w:rsid w:val="63320DD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3"/>
    <w:semiHidden/>
    <w:unhideWhenUsed/>
    <w:uiPriority w:val="99"/>
    <w:rPr>
      <w:sz w:val="18"/>
      <w:szCs w:val="18"/>
    </w:rPr>
  </w:style>
  <w:style w:type="paragraph" w:styleId="3">
    <w:name w:val="footer"/>
    <w:basedOn w:val="1"/>
    <w:link w:val="12"/>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Hyperlink"/>
    <w:basedOn w:val="8"/>
    <w:semiHidden/>
    <w:unhideWhenUsed/>
    <w:qFormat/>
    <w:uiPriority w:val="99"/>
    <w:rPr>
      <w:color w:val="0000FF"/>
      <w:u w:val="single"/>
    </w:rPr>
  </w:style>
  <w:style w:type="paragraph" w:styleId="10">
    <w:name w:val="List Paragraph"/>
    <w:basedOn w:val="1"/>
    <w:qFormat/>
    <w:uiPriority w:val="34"/>
    <w:pPr>
      <w:ind w:firstLine="420" w:firstLineChars="200"/>
    </w:pPr>
  </w:style>
  <w:style w:type="character" w:customStyle="1" w:styleId="11">
    <w:name w:val="页眉 Char1"/>
    <w:basedOn w:val="8"/>
    <w:link w:val="4"/>
    <w:uiPriority w:val="99"/>
    <w:rPr>
      <w:rFonts w:ascii="Times New Roman" w:hAnsi="Times New Roman" w:eastAsia="宋体" w:cs="Times New Roman"/>
      <w:sz w:val="18"/>
      <w:szCs w:val="18"/>
    </w:rPr>
  </w:style>
  <w:style w:type="character" w:customStyle="1" w:styleId="12">
    <w:name w:val="页脚 Char"/>
    <w:basedOn w:val="8"/>
    <w:link w:val="3"/>
    <w:qFormat/>
    <w:uiPriority w:val="99"/>
    <w:rPr>
      <w:rFonts w:ascii="Times New Roman" w:hAnsi="Times New Roman" w:eastAsia="宋体" w:cs="Times New Roman"/>
      <w:sz w:val="18"/>
      <w:szCs w:val="18"/>
    </w:rPr>
  </w:style>
  <w:style w:type="character" w:customStyle="1" w:styleId="13">
    <w:name w:val="批注框文本 Char"/>
    <w:basedOn w:val="8"/>
    <w:link w:val="2"/>
    <w:semiHidden/>
    <w:qFormat/>
    <w:uiPriority w:val="99"/>
    <w:rPr>
      <w:rFonts w:ascii="Times New Roman" w:hAnsi="Times New Roman" w:eastAsia="宋体" w:cs="Times New Roman"/>
      <w:sz w:val="18"/>
      <w:szCs w:val="18"/>
    </w:rPr>
  </w:style>
  <w:style w:type="character" w:customStyle="1" w:styleId="14">
    <w:name w:val="页眉 Char"/>
    <w:uiPriority w:val="0"/>
    <w:rPr>
      <w:kern w:val="2"/>
      <w:sz w:val="18"/>
      <w:szCs w:val="18"/>
    </w:rPr>
  </w:style>
  <w:style w:type="character" w:customStyle="1" w:styleId="15">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12</Pages>
  <Words>1441</Words>
  <Characters>8217</Characters>
  <Lines>68</Lines>
  <Paragraphs>19</Paragraphs>
  <TotalTime>77</TotalTime>
  <ScaleCrop>false</ScaleCrop>
  <LinksUpToDate>false</LinksUpToDate>
  <CharactersWithSpaces>9639</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小冉</cp:lastModifiedBy>
  <cp:lastPrinted>2019-05-13T03:19:00Z</cp:lastPrinted>
  <dcterms:modified xsi:type="dcterms:W3CDTF">2021-05-31T07:03:00Z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