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重庆小锋包装袋有限责任公司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销售流程图: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签订合同→产品采购→产品交付→款项回收→售后维护。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潜在火灾和固废排放，采取管理方案和应急处理方案控制。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火灾、意外伤害，采取管理方案和应急处理方案控制。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5" w:name="_GoBack"/>
            <w:r>
              <w:rPr>
                <w:rFonts w:hint="eastAsia" w:ascii="宋体" w:hAnsi="宋体" w:eastAsia="宋体"/>
                <w:color w:val="000000" w:themeColor="text1"/>
              </w:rPr>
              <w:t>中华人民共和国产品质量法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中华人民共和国招投标法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中华人民共和国消防法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中华人民共和国大气污染防治法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中华人民共和国环境噪声污染防治法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中华人民共和国固体废物污染防治法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</w:rPr>
              <w:t>大气污染物综合排放标准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等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111125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104775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2021年6月2日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2021年6月2日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191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2021-05-29T09:55:10Z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342B096CACF14B1DB3A6A4AF10C941F7</vt:lpwstr>
  </property>
</Properties>
</file>