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hint="eastAsia"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p>
      <w:pPr>
        <w:spacing w:line="480" w:lineRule="exact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受审核部门：</w:t>
      </w:r>
      <w:r>
        <w:rPr>
          <w:rFonts w:hint="eastAsia"/>
          <w:sz w:val="24"/>
          <w:szCs w:val="24"/>
          <w:lang w:val="en-US" w:eastAsia="zh-CN"/>
        </w:rPr>
        <w:t>领导</w:t>
      </w:r>
      <w:r>
        <w:rPr>
          <w:rFonts w:hint="eastAsia"/>
          <w:sz w:val="24"/>
          <w:szCs w:val="24"/>
        </w:rPr>
        <w:t>层、</w:t>
      </w:r>
      <w:r>
        <w:rPr>
          <w:rFonts w:hint="eastAsia"/>
          <w:sz w:val="24"/>
          <w:szCs w:val="24"/>
          <w:lang w:val="en-US" w:eastAsia="zh-CN"/>
        </w:rPr>
        <w:t>行政部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  <w:lang w:val="en-US" w:eastAsia="zh-CN"/>
        </w:rPr>
        <w:t xml:space="preserve">供销部   </w:t>
      </w:r>
    </w:p>
    <w:p>
      <w:pPr>
        <w:spacing w:line="480" w:lineRule="exact"/>
        <w:jc w:val="left"/>
        <w:rPr>
          <w:rFonts w:hint="eastAsia" w:ascii="隶书" w:hAnsi="宋体" w:eastAsia="宋体"/>
          <w:bCs/>
          <w:color w:val="000000"/>
          <w:sz w:val="36"/>
          <w:szCs w:val="36"/>
          <w:lang w:val="en-US" w:eastAsia="zh-CN"/>
        </w:rPr>
      </w:pPr>
      <w:r>
        <w:rPr>
          <w:rFonts w:hint="eastAsia"/>
          <w:sz w:val="24"/>
          <w:szCs w:val="24"/>
        </w:rPr>
        <w:t>陪同人员：</w:t>
      </w:r>
      <w:bookmarkStart w:id="0" w:name="联系人"/>
      <w:r>
        <w:rPr>
          <w:rFonts w:hint="eastAsia"/>
          <w:sz w:val="24"/>
          <w:szCs w:val="24"/>
        </w:rPr>
        <w:t>席雨</w:t>
      </w:r>
      <w:bookmarkEnd w:id="0"/>
      <w:r>
        <w:rPr>
          <w:rFonts w:hint="eastAsia"/>
          <w:sz w:val="24"/>
          <w:szCs w:val="24"/>
          <w:lang w:val="en-US" w:eastAsia="zh-CN"/>
        </w:rPr>
        <w:t xml:space="preserve">，  </w:t>
      </w:r>
      <w:r>
        <w:rPr>
          <w:rFonts w:hint="eastAsia"/>
          <w:sz w:val="24"/>
          <w:szCs w:val="24"/>
        </w:rPr>
        <w:t>审核员：</w:t>
      </w:r>
      <w:r>
        <w:rPr>
          <w:rFonts w:hint="eastAsia"/>
          <w:sz w:val="24"/>
          <w:szCs w:val="24"/>
          <w:lang w:val="en-US" w:eastAsia="zh-CN"/>
        </w:rPr>
        <w:t>杨珍全</w:t>
      </w:r>
      <w:r>
        <w:rPr>
          <w:rFonts w:hint="eastAsia" w:cs="Times New Roman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审核时间：</w:t>
      </w:r>
      <w:bookmarkStart w:id="1" w:name="审核开始日"/>
      <w:r>
        <w:rPr>
          <w:rFonts w:hint="eastAsia" w:ascii="Times New Roman" w:hAnsi="Times New Roman" w:eastAsia="宋体" w:cs="Times New Roman"/>
          <w:sz w:val="24"/>
          <w:szCs w:val="24"/>
        </w:rPr>
        <w:t>202</w:t>
      </w:r>
      <w:r>
        <w:rPr>
          <w:rFonts w:hint="eastAsia" w:cs="Times New Roman"/>
          <w:sz w:val="24"/>
          <w:szCs w:val="24"/>
          <w:lang w:val="en-US" w:eastAsia="zh-CN"/>
        </w:rPr>
        <w:t>1</w:t>
      </w:r>
      <w:r>
        <w:rPr>
          <w:rFonts w:hint="eastAsia" w:ascii="Times New Roman" w:hAnsi="Times New Roman" w:eastAsia="宋体" w:cs="Times New Roman"/>
          <w:sz w:val="24"/>
          <w:szCs w:val="24"/>
        </w:rPr>
        <w:t>年</w:t>
      </w:r>
      <w:r>
        <w:rPr>
          <w:rFonts w:hint="eastAsia" w:cs="Times New Roman"/>
          <w:sz w:val="24"/>
          <w:szCs w:val="24"/>
          <w:lang w:val="en-US" w:eastAsia="zh-CN"/>
        </w:rPr>
        <w:t>5</w:t>
      </w:r>
      <w:r>
        <w:rPr>
          <w:rFonts w:hint="eastAsia" w:ascii="Times New Roman" w:hAnsi="Times New Roman" w:eastAsia="宋体" w:cs="Times New Roman"/>
          <w:sz w:val="24"/>
          <w:szCs w:val="24"/>
        </w:rPr>
        <w:t>月</w:t>
      </w:r>
      <w:r>
        <w:rPr>
          <w:rFonts w:hint="eastAsia" w:cs="Times New Roman"/>
          <w:sz w:val="24"/>
          <w:szCs w:val="24"/>
          <w:lang w:val="en-US" w:eastAsia="zh-CN"/>
        </w:rPr>
        <w:t>50</w:t>
      </w:r>
      <w:r>
        <w:rPr>
          <w:rFonts w:hint="eastAsia" w:ascii="Times New Roman" w:hAnsi="Times New Roman" w:eastAsia="宋体" w:cs="Times New Roman"/>
          <w:sz w:val="24"/>
          <w:szCs w:val="24"/>
        </w:rPr>
        <w:t>日</w:t>
      </w:r>
      <w:bookmarkEnd w:id="1"/>
      <w:r>
        <w:rPr>
          <w:rFonts w:hint="eastAsia" w:cs="Times New Roman"/>
          <w:sz w:val="24"/>
          <w:szCs w:val="24"/>
          <w:lang w:val="en-US" w:eastAsia="zh-CN"/>
        </w:rPr>
        <w:t>上午</w:t>
      </w:r>
    </w:p>
    <w:tbl>
      <w:tblPr>
        <w:tblStyle w:val="8"/>
        <w:tblW w:w="14872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7"/>
        <w:gridCol w:w="8862"/>
        <w:gridCol w:w="1341"/>
        <w:gridCol w:w="9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tblHeader/>
        </w:trPr>
        <w:tc>
          <w:tcPr>
            <w:tcW w:w="3687" w:type="dxa"/>
            <w:shd w:val="clear" w:color="auto" w:fill="E6E6E6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审核员</w:t>
            </w:r>
          </w:p>
        </w:tc>
        <w:tc>
          <w:tcPr>
            <w:tcW w:w="11185" w:type="dxa"/>
            <w:gridSpan w:val="3"/>
            <w:shd w:val="clear" w:color="auto" w:fill="E6E6E6"/>
            <w:vAlign w:val="center"/>
          </w:tcPr>
          <w:p>
            <w:pPr>
              <w:spacing w:line="0" w:lineRule="atLeas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tblHeader/>
        </w:trPr>
        <w:tc>
          <w:tcPr>
            <w:tcW w:w="3687" w:type="dxa"/>
            <w:shd w:val="clear" w:color="auto" w:fill="E6E6E6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检  查  表</w:t>
            </w:r>
          </w:p>
        </w:tc>
        <w:tc>
          <w:tcPr>
            <w:tcW w:w="8862" w:type="dxa"/>
            <w:shd w:val="clear" w:color="auto" w:fill="E6E6E6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  核   记   录</w:t>
            </w:r>
          </w:p>
        </w:tc>
        <w:tc>
          <w:tcPr>
            <w:tcW w:w="1341" w:type="dxa"/>
            <w:shd w:val="clear" w:color="auto" w:fill="E6E6E6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标准号</w:t>
            </w:r>
          </w:p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条款号</w:t>
            </w:r>
          </w:p>
        </w:tc>
        <w:tc>
          <w:tcPr>
            <w:tcW w:w="982" w:type="dxa"/>
            <w:shd w:val="clear" w:color="auto" w:fill="E6E6E6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评估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3687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企业简介、组织机构及场所、资质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EMS审核，询问有无以下场所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锅炉房、配电室、实验室、化学品库、污水处理站、食堂、宿舍、空压机房</w:t>
            </w: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OHSMS审核，询问有无以下场所，高处作业、铅冶炼、高粉尘作业、机械加工、压力容器操作、有毒化学品车间、危险化学品仓库和储存罐区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管理体系运行时间（3 个月以上）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确认组织实际与管理体系文件化信息描述的一致性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（如部门设置和负责人，生产和服务等过程）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管理体系文件名称</w:t>
            </w:r>
          </w:p>
        </w:tc>
        <w:tc>
          <w:tcPr>
            <w:tcW w:w="8862" w:type="dxa"/>
          </w:tcPr>
          <w:p>
            <w:pPr>
              <w:rPr>
                <w:rFonts w:hAnsi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重庆小锋包装袋有限责任公司成立于2018年，是一家福利型企业</w:t>
            </w:r>
            <w:r>
              <w:rPr>
                <w:rFonts w:hint="eastAsia" w:hAnsi="宋体" w:cs="宋体"/>
                <w:sz w:val="21"/>
                <w:szCs w:val="21"/>
                <w:highlight w:val="none"/>
              </w:rPr>
              <w:t>。主要</w:t>
            </w:r>
            <w:r>
              <w:rPr>
                <w:sz w:val="21"/>
                <w:szCs w:val="21"/>
                <w:highlight w:val="none"/>
              </w:rPr>
              <w:t>长</w:t>
            </w:r>
            <w:r>
              <w:rPr>
                <w:sz w:val="21"/>
                <w:szCs w:val="21"/>
              </w:rPr>
              <w:t>期从事</w:t>
            </w:r>
            <w:r>
              <w:rPr>
                <w:rFonts w:hint="eastAsia" w:ascii="宋体" w:hAnsi="宋体"/>
                <w:sz w:val="21"/>
                <w:szCs w:val="21"/>
              </w:rPr>
              <w:t>塑料编织袋、集装袋的销售</w:t>
            </w:r>
            <w:r>
              <w:rPr>
                <w:rFonts w:hint="eastAsia" w:hAnsi="宋体" w:cs="宋体"/>
                <w:sz w:val="21"/>
                <w:szCs w:val="21"/>
                <w:highlight w:val="none"/>
              </w:rPr>
              <w:t>，目前员工人数</w:t>
            </w:r>
            <w:r>
              <w:rPr>
                <w:rFonts w:hint="eastAsia" w:hAnsi="宋体" w:cs="宋体"/>
                <w:sz w:val="21"/>
                <w:szCs w:val="21"/>
                <w:highlight w:val="none"/>
                <w:lang w:val="en-US" w:eastAsia="zh-CN"/>
              </w:rPr>
              <w:t>37</w:t>
            </w:r>
            <w:r>
              <w:rPr>
                <w:rFonts w:hint="eastAsia" w:hAnsi="宋体" w:cs="宋体"/>
                <w:sz w:val="21"/>
                <w:szCs w:val="21"/>
                <w:highlight w:val="none"/>
              </w:rPr>
              <w:t>人，经营状况良好。</w:t>
            </w:r>
          </w:p>
          <w:p>
            <w:pPr>
              <w:spacing w:line="0" w:lineRule="atLeast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spacing w:line="0" w:lineRule="atLeast"/>
              <w:jc w:val="left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该公司目前成立了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五</w:t>
            </w:r>
            <w:r>
              <w:rPr>
                <w:rFonts w:hint="eastAsia" w:ascii="宋体" w:hAnsi="宋体"/>
                <w:szCs w:val="21"/>
              </w:rPr>
              <w:t>个部门：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行政部</w:t>
            </w:r>
            <w:r>
              <w:rPr>
                <w:rFonts w:hint="eastAsia" w:ascii="宋体" w:hAnsi="宋体"/>
                <w:szCs w:val="21"/>
                <w:lang w:eastAsia="zh-CN"/>
              </w:rPr>
              <w:t>、生产部、供销部、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质量部、财务部</w:t>
            </w:r>
            <w:r>
              <w:rPr>
                <w:rFonts w:hint="eastAsia" w:ascii="宋体" w:hAnsi="宋体"/>
                <w:szCs w:val="21"/>
                <w:lang w:eastAsia="zh-CN"/>
              </w:rPr>
              <w:t>。</w:t>
            </w:r>
          </w:p>
          <w:p>
            <w:pPr>
              <w:spacing w:line="0" w:lineRule="atLeast"/>
              <w:jc w:val="left"/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spacing w:line="40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抽查：组织机构图、职能分配表、职责描述，基本保持一致。</w:t>
            </w:r>
          </w:p>
          <w:p>
            <w:pPr>
              <w:spacing w:line="0" w:lineRule="atLeast"/>
              <w:ind w:firstLine="210" w:firstLineChars="100"/>
              <w:jc w:val="left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询问，</w:t>
            </w:r>
            <w:r>
              <w:rPr>
                <w:rFonts w:hint="eastAsia" w:ascii="宋体" w:hAnsi="宋体"/>
                <w:szCs w:val="21"/>
                <w:lang w:eastAsia="zh-CN"/>
              </w:rPr>
              <w:t>公司销售的</w:t>
            </w:r>
            <w:r>
              <w:rPr>
                <w:rFonts w:hint="eastAsia" w:ascii="宋体" w:hAnsi="宋体"/>
                <w:sz w:val="21"/>
                <w:szCs w:val="21"/>
              </w:rPr>
              <w:t>塑料编织袋、集装袋</w:t>
            </w:r>
            <w:r>
              <w:rPr>
                <w:rFonts w:hint="eastAsia" w:ascii="宋体" w:hAnsi="宋体"/>
                <w:szCs w:val="21"/>
                <w:lang w:eastAsia="zh-CN"/>
              </w:rPr>
              <w:t>是自己生产的产品，未有其它供方。本次环境、职业健康管理体系认证审核部门为管理层、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行政部</w:t>
            </w:r>
            <w:r>
              <w:rPr>
                <w:rFonts w:hint="eastAsia" w:ascii="宋体" w:hAnsi="宋体"/>
                <w:szCs w:val="21"/>
                <w:lang w:eastAsia="zh-CN"/>
              </w:rPr>
              <w:t>、供销部、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财务部</w:t>
            </w:r>
            <w:r>
              <w:rPr>
                <w:rFonts w:hint="eastAsia" w:ascii="宋体" w:hAnsi="宋体"/>
                <w:szCs w:val="21"/>
                <w:lang w:eastAsia="zh-CN"/>
              </w:rPr>
              <w:t>。</w:t>
            </w:r>
          </w:p>
          <w:p>
            <w:pPr>
              <w:spacing w:line="240" w:lineRule="atLeast"/>
              <w:ind w:left="630" w:hanging="630" w:hangingChars="3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审核地点</w:t>
            </w:r>
            <w:r>
              <w:rPr>
                <w:rFonts w:hint="eastAsia" w:ascii="宋体" w:hAnsi="宋体"/>
                <w:szCs w:val="21"/>
                <w:highlight w:val="none"/>
                <w:lang w:eastAsia="zh-CN"/>
              </w:rPr>
              <w:t>为</w:t>
            </w:r>
            <w:bookmarkStart w:id="2" w:name="生产地址"/>
            <w:r>
              <w:t>重庆市长寿区凤城街道三洞村十组</w:t>
            </w:r>
            <w:bookmarkEnd w:id="2"/>
            <w:r>
              <w:rPr>
                <w:rFonts w:hint="eastAsia"/>
                <w:color w:val="000000"/>
                <w:szCs w:val="21"/>
                <w:highlight w:val="none"/>
                <w:lang w:val="de-DE"/>
              </w:rPr>
              <w:t>，与</w:t>
            </w:r>
            <w:r>
              <w:rPr>
                <w:rFonts w:hint="eastAsia" w:ascii="宋体" w:hAnsi="宋体"/>
                <w:szCs w:val="21"/>
                <w:highlight w:val="none"/>
              </w:rPr>
              <w:t>任务书一致。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经确认，认证范围为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EMS: 塑料编织袋、集装袋的销售所涉及场所的相关环境管理活动。</w:t>
            </w:r>
          </w:p>
          <w:p>
            <w:pPr>
              <w:spacing w:line="0" w:lineRule="atLeas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OHSMS: 塑料编织袋、集装袋的销售所涉及场所的相关职业健康安全管理活动。</w:t>
            </w:r>
          </w:p>
          <w:p>
            <w:pPr>
              <w:spacing w:line="0" w:lineRule="atLeast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spacing w:line="0" w:lineRule="atLeast"/>
              <w:ind w:firstLine="210" w:firstLineChars="100"/>
              <w:jc w:val="left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与申请的</w:t>
            </w:r>
            <w:r>
              <w:rPr>
                <w:rFonts w:hint="eastAsia" w:ascii="宋体" w:hAnsi="宋体"/>
                <w:szCs w:val="21"/>
              </w:rPr>
              <w:t>认证范围</w:t>
            </w:r>
            <w:r>
              <w:rPr>
                <w:rFonts w:hint="eastAsia" w:ascii="宋体" w:hAnsi="宋体"/>
                <w:szCs w:val="21"/>
                <w:lang w:eastAsia="zh-CN"/>
              </w:rPr>
              <w:t>一致。</w:t>
            </w:r>
          </w:p>
          <w:p>
            <w:pPr>
              <w:spacing w:line="0" w:lineRule="atLeast"/>
              <w:ind w:firstLine="210" w:firstLineChars="100"/>
              <w:jc w:val="left"/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widowControl/>
              <w:ind w:firstLine="210" w:firstLineChars="10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询问，</w:t>
            </w:r>
            <w:r>
              <w:rPr>
                <w:rFonts w:hint="eastAsia" w:ascii="宋体" w:hAnsi="宋体" w:cs="宋体"/>
                <w:szCs w:val="21"/>
              </w:rPr>
              <w:t>主要设备为电脑及办公设备（含传真机、打印机等）和空调等，关键过程：</w:t>
            </w:r>
            <w:r>
              <w:rPr>
                <w:rFonts w:hint="eastAsia" w:ascii="宋体" w:hAnsi="宋体"/>
                <w:szCs w:val="21"/>
              </w:rPr>
              <w:t>销售</w:t>
            </w:r>
            <w:r>
              <w:rPr>
                <w:rFonts w:hint="eastAsia" w:ascii="宋体" w:hAnsi="宋体" w:cs="宋体"/>
                <w:szCs w:val="21"/>
              </w:rPr>
              <w:t>过程。查体系运行时间：20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 w:cs="宋体"/>
                <w:szCs w:val="21"/>
              </w:rPr>
              <w:t>年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Cs w:val="21"/>
              </w:rPr>
              <w:t>月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Cs w:val="21"/>
              </w:rPr>
              <w:t>日。</w:t>
            </w:r>
          </w:p>
          <w:p>
            <w:pPr>
              <w:spacing w:line="400" w:lineRule="exact"/>
              <w:ind w:firstLine="420" w:firstLineChars="200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产品流程见《作业流程》</w:t>
            </w:r>
          </w:p>
          <w:p>
            <w:pPr>
              <w:spacing w:line="440" w:lineRule="exact"/>
              <w:rPr>
                <w:rFonts w:ascii="宋体" w:hAnsi="宋体"/>
                <w:kern w:val="44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查，</w:t>
            </w:r>
            <w:r>
              <w:rPr>
                <w:rFonts w:hint="eastAsia" w:ascii="宋体" w:hAnsi="宋体"/>
                <w:szCs w:val="21"/>
              </w:rPr>
              <w:t>管理体系文件名称</w:t>
            </w:r>
            <w:r>
              <w:rPr>
                <w:rFonts w:hint="eastAsia" w:ascii="宋体" w:hAnsi="宋体"/>
                <w:color w:val="000000"/>
                <w:szCs w:val="21"/>
              </w:rPr>
              <w:t>：</w:t>
            </w:r>
            <w:r>
              <w:rPr>
                <w:rFonts w:hint="eastAsia" w:ascii="宋体" w:hAnsi="宋体"/>
                <w:kern w:val="44"/>
                <w:szCs w:val="21"/>
                <w:lang w:eastAsia="zh-CN"/>
              </w:rPr>
              <w:t>管理手册</w:t>
            </w:r>
            <w:r>
              <w:rPr>
                <w:rFonts w:hint="eastAsia" w:ascii="宋体" w:hAnsi="宋体"/>
                <w:kern w:val="44"/>
                <w:szCs w:val="21"/>
              </w:rPr>
              <w:t>，程序文件</w:t>
            </w:r>
            <w:r>
              <w:rPr>
                <w:rFonts w:hint="eastAsia" w:ascii="宋体" w:hAnsi="宋体"/>
                <w:kern w:val="44"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/>
                <w:kern w:val="44"/>
                <w:szCs w:val="21"/>
              </w:rPr>
              <w:t>个。</w:t>
            </w:r>
          </w:p>
        </w:tc>
        <w:tc>
          <w:tcPr>
            <w:tcW w:w="1341" w:type="dxa"/>
          </w:tcPr>
          <w:p>
            <w:pPr>
              <w:spacing w:line="440" w:lineRule="exact"/>
              <w:jc w:val="lef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E/S：4.1、4.2、4.3、4.4</w:t>
            </w: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982" w:type="dxa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符合</w:t>
            </w: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3687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方针及目标、指标及方案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862" w:type="dxa"/>
          </w:tcPr>
          <w:p>
            <w:pPr>
              <w:jc w:val="left"/>
              <w:rPr>
                <w:szCs w:val="22"/>
              </w:rPr>
            </w:pPr>
            <w:r>
              <w:rPr>
                <w:rFonts w:hint="eastAsia"/>
                <w:szCs w:val="22"/>
              </w:rPr>
              <w:t>环境</w:t>
            </w:r>
            <w:r>
              <w:rPr>
                <w:rFonts w:hint="eastAsia"/>
                <w:szCs w:val="22"/>
                <w:lang w:eastAsia="zh-CN"/>
              </w:rPr>
              <w:t>、</w:t>
            </w:r>
            <w:r>
              <w:rPr>
                <w:rFonts w:hint="eastAsia"/>
                <w:szCs w:val="22"/>
              </w:rPr>
              <w:t xml:space="preserve">职业健康安全管理方针： </w:t>
            </w:r>
          </w:p>
          <w:p>
            <w:pPr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预防为主，遵规守法，确保环保安全；以人为本，持续改进，实现平安和谐</w:t>
            </w:r>
            <w:r>
              <w:rPr>
                <w:rFonts w:hint="eastAsia"/>
                <w:sz w:val="21"/>
                <w:szCs w:val="21"/>
              </w:rPr>
              <w:t>”。</w:t>
            </w:r>
          </w:p>
          <w:p>
            <w:pPr>
              <w:jc w:val="left"/>
              <w:rPr>
                <w:rFonts w:hint="eastAsia"/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环境、职业健康安全目标：</w:t>
            </w:r>
          </w:p>
          <w:p>
            <w:pPr>
              <w:jc w:val="left"/>
              <w:rPr>
                <w:rFonts w:hint="eastAsia"/>
                <w:szCs w:val="22"/>
                <w:lang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1）</w:t>
            </w:r>
            <w:r>
              <w:rPr>
                <w:rFonts w:hint="eastAsia"/>
                <w:szCs w:val="22"/>
                <w:lang w:eastAsia="zh-CN"/>
              </w:rPr>
              <w:t>火灾发生率为0；</w:t>
            </w:r>
          </w:p>
          <w:p>
            <w:pPr>
              <w:jc w:val="left"/>
              <w:rPr>
                <w:rFonts w:hint="eastAsia"/>
                <w:szCs w:val="22"/>
                <w:lang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2）</w:t>
            </w:r>
            <w:r>
              <w:rPr>
                <w:rFonts w:hint="eastAsia"/>
                <w:szCs w:val="22"/>
                <w:lang w:eastAsia="zh-CN"/>
              </w:rPr>
              <w:t>员工意外伤害为0；</w:t>
            </w:r>
          </w:p>
          <w:p>
            <w:pPr>
              <w:jc w:val="left"/>
              <w:rPr>
                <w:rFonts w:hint="eastAsia"/>
                <w:szCs w:val="22"/>
                <w:lang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3）</w:t>
            </w:r>
            <w:r>
              <w:rPr>
                <w:rFonts w:hint="eastAsia"/>
                <w:szCs w:val="22"/>
                <w:lang w:eastAsia="zh-CN"/>
              </w:rPr>
              <w:t>固废处置合规率100%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2"/>
              </w:rPr>
              <w:t>拟定有管理方案和预案。</w:t>
            </w:r>
          </w:p>
        </w:tc>
        <w:tc>
          <w:tcPr>
            <w:tcW w:w="1341" w:type="dxa"/>
          </w:tcPr>
          <w:p>
            <w:pPr>
              <w:spacing w:line="440" w:lineRule="exact"/>
              <w:jc w:val="lef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E/S：5.1、6.2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82" w:type="dxa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符合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3687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内部审核：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不符合及整改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862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建立有《内部审核控制程序》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见有《内部审核计划表》 </w:t>
            </w: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内审时间：202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szCs w:val="21"/>
              </w:rPr>
              <w:t>日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内审组：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席雨</w:t>
            </w:r>
            <w:r>
              <w:rPr>
                <w:rFonts w:hint="eastAsia"/>
                <w:szCs w:val="21"/>
              </w:rPr>
              <w:t>（组长）、</w:t>
            </w:r>
            <w:r>
              <w:rPr>
                <w:rFonts w:hint="eastAsia" w:ascii="宋体" w:hAnsi="宋体" w:cs="宋体"/>
                <w:lang w:eastAsia="zh-CN"/>
              </w:rPr>
              <w:t>杜红</w:t>
            </w:r>
            <w:r>
              <w:rPr>
                <w:rFonts w:hint="eastAsia"/>
                <w:szCs w:val="21"/>
              </w:rPr>
              <w:t>（组员）。</w:t>
            </w:r>
          </w:p>
          <w:p>
            <w:pPr>
              <w:tabs>
                <w:tab w:val="right" w:pos="9332"/>
              </w:tabs>
              <w:spacing w:line="440" w:lineRule="exact"/>
              <w:rPr>
                <w:rFonts w:hint="eastAsia"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</w:rPr>
              <w:t>见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有：《内审不符合项报告》1份，</w:t>
            </w:r>
            <w:r>
              <w:rPr>
                <w:rFonts w:hint="eastAsia" w:ascii="宋体" w:hAnsi="宋体"/>
                <w:szCs w:val="21"/>
              </w:rPr>
              <w:t>涉及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行政</w:t>
            </w:r>
            <w:r>
              <w:rPr>
                <w:rFonts w:hint="eastAsia" w:ascii="宋体" w:hAnsi="宋体"/>
                <w:szCs w:val="21"/>
                <w:lang w:eastAsia="zh-CN"/>
              </w:rPr>
              <w:t>部</w:t>
            </w:r>
            <w:r>
              <w:rPr>
                <w:rFonts w:hint="eastAsia" w:ascii="宋体" w:hAnsi="宋体"/>
                <w:szCs w:val="21"/>
              </w:rPr>
              <w:t>E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/>
                <w:szCs w:val="21"/>
              </w:rPr>
              <w:t>S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条款</w:t>
            </w:r>
            <w:r>
              <w:rPr>
                <w:rFonts w:hint="eastAsia" w:ascii="宋体" w:hAnsi="宋体"/>
                <w:szCs w:val="21"/>
                <w:lang w:eastAsia="zh-CN"/>
              </w:rPr>
              <w:t>“</w:t>
            </w:r>
            <w:r>
              <w:rPr>
                <w:rFonts w:hint="eastAsia" w:ascii="宋体" w:hAnsi="宋体" w:cs="宋体"/>
                <w:szCs w:val="21"/>
              </w:rPr>
              <w:t>在审核行政部时，未见对新员工的培训记录</w:t>
            </w:r>
            <w:r>
              <w:rPr>
                <w:rFonts w:hint="eastAsia" w:ascii="宋体" w:hAnsi="宋体"/>
                <w:szCs w:val="21"/>
                <w:lang w:eastAsia="zh-CN"/>
              </w:rPr>
              <w:t>”</w:t>
            </w:r>
            <w:r>
              <w:rPr>
                <w:rFonts w:hint="eastAsia" w:ascii="宋体" w:hAnsi="宋体"/>
                <w:szCs w:val="21"/>
              </w:rPr>
              <w:t>，针对该不符合项，已及时采取纠正措施后，经内审员验证关闭。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有《内部审核报告》，有审核结论。</w:t>
            </w:r>
          </w:p>
        </w:tc>
        <w:tc>
          <w:tcPr>
            <w:tcW w:w="1341" w:type="dxa"/>
            <w:vAlign w:val="top"/>
          </w:tcPr>
          <w:p>
            <w:pPr>
              <w:spacing w:line="440" w:lineRule="exact"/>
              <w:jc w:val="lef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E/S：9.2</w:t>
            </w:r>
          </w:p>
          <w:p>
            <w:pPr>
              <w:spacing w:line="44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82" w:type="dxa"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符合</w:t>
            </w:r>
          </w:p>
          <w:p>
            <w:pPr>
              <w:spacing w:line="44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3687" w:type="dxa"/>
          </w:tcPr>
          <w:p>
            <w:pPr>
              <w:tabs>
                <w:tab w:val="right" w:pos="9332"/>
              </w:tabs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管理评审：</w:t>
            </w:r>
          </w:p>
          <w:p>
            <w:pPr>
              <w:tabs>
                <w:tab w:val="right" w:pos="9332"/>
              </w:tabs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tabs>
                <w:tab w:val="right" w:pos="9332"/>
              </w:tabs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  <w:p>
            <w:pPr>
              <w:tabs>
                <w:tab w:val="right" w:pos="9332"/>
              </w:tabs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tabs>
                <w:tab w:val="right" w:pos="9332"/>
              </w:tabs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输入是否完整</w:t>
            </w:r>
          </w:p>
          <w:p>
            <w:pPr>
              <w:tabs>
                <w:tab w:val="right" w:pos="9332"/>
              </w:tabs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tabs>
                <w:tab w:val="right" w:pos="9332"/>
              </w:tabs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提出的改进内容</w:t>
            </w:r>
          </w:p>
          <w:p>
            <w:pPr>
              <w:tabs>
                <w:tab w:val="right" w:pos="9332"/>
              </w:tabs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862" w:type="dxa"/>
          </w:tcPr>
          <w:p>
            <w:pPr>
              <w:tabs>
                <w:tab w:val="right" w:pos="9332"/>
              </w:tabs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查见《管理评审计划》、《管理评审会议记录》</w:t>
            </w:r>
          </w:p>
          <w:p>
            <w:pPr>
              <w:tabs>
                <w:tab w:val="right" w:pos="9332"/>
              </w:tabs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tabs>
                <w:tab w:val="right" w:pos="9332"/>
              </w:tabs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管理评审于2</w:t>
            </w:r>
            <w:r>
              <w:rPr>
                <w:rFonts w:hint="eastAsia" w:ascii="宋体" w:hAnsi="宋体"/>
                <w:color w:val="auto"/>
                <w:szCs w:val="21"/>
              </w:rPr>
              <w:t>02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color w:val="auto"/>
                <w:szCs w:val="21"/>
              </w:rPr>
              <w:t>年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auto"/>
                <w:szCs w:val="21"/>
              </w:rPr>
              <w:t>月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24</w:t>
            </w:r>
            <w:r>
              <w:rPr>
                <w:rFonts w:hint="eastAsia" w:ascii="宋体" w:hAnsi="宋体"/>
                <w:color w:val="auto"/>
                <w:szCs w:val="21"/>
              </w:rPr>
              <w:t>日由总经</w:t>
            </w:r>
            <w:r>
              <w:rPr>
                <w:rFonts w:hint="eastAsia" w:ascii="宋体" w:hAnsi="宋体"/>
                <w:szCs w:val="21"/>
              </w:rPr>
              <w:t>理</w:t>
            </w:r>
            <w:r>
              <w:rPr>
                <w:rFonts w:hint="eastAsia" w:ascii="宋体" w:hAnsi="宋体" w:cs="Times New Roman"/>
                <w:szCs w:val="21"/>
                <w:lang w:eastAsia="zh-CN"/>
              </w:rPr>
              <w:t>焦小锋</w:t>
            </w:r>
            <w:r>
              <w:rPr>
                <w:rFonts w:hint="eastAsia" w:ascii="宋体" w:hAnsi="宋体" w:cs="Times New Roman"/>
                <w:szCs w:val="21"/>
              </w:rPr>
              <w:t>主</w:t>
            </w:r>
            <w:r>
              <w:rPr>
                <w:rFonts w:hint="eastAsia" w:ascii="宋体" w:hAnsi="宋体"/>
                <w:szCs w:val="21"/>
              </w:rPr>
              <w:t>持完成。</w:t>
            </w:r>
          </w:p>
          <w:p>
            <w:pPr>
              <w:tabs>
                <w:tab w:val="right" w:pos="9332"/>
              </w:tabs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tabs>
                <w:tab w:val="right" w:pos="9332"/>
              </w:tabs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提供主要输入材料有：各部门总结，输入信息基本充分和满足要求。</w:t>
            </w:r>
          </w:p>
          <w:p>
            <w:pPr>
              <w:tabs>
                <w:tab w:val="right" w:pos="9332"/>
              </w:tabs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输出见“管理评审报告”, 做出了管理体系基本适宜、充分和有效的评审结论。</w:t>
            </w:r>
          </w:p>
          <w:p>
            <w:pPr>
              <w:ind w:left="420" w:leftChars="2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提出以下改进内容：</w:t>
            </w:r>
          </w:p>
          <w:p>
            <w:pPr>
              <w:ind w:left="420" w:leftChars="200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1、公司今后加强对采购物品的控制，从源头控制开始严格控制供应商，保证所有供应商经过评价，评价合格的基础上才予以采购；对所进的所有货品都进行检验，并注意保留相关记录。</w:t>
            </w:r>
          </w:p>
          <w:p>
            <w:pPr>
              <w:ind w:left="420" w:leftChars="200"/>
              <w:rPr>
                <w:rFonts w:ascii="宋体" w:hAnsi="宋体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2、行政部对文件发放要加强控制。</w:t>
            </w:r>
          </w:p>
        </w:tc>
        <w:tc>
          <w:tcPr>
            <w:tcW w:w="1341" w:type="dxa"/>
            <w:vAlign w:val="top"/>
          </w:tcPr>
          <w:p>
            <w:pPr>
              <w:spacing w:line="440" w:lineRule="exact"/>
              <w:jc w:val="lef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E/S：9.3</w:t>
            </w:r>
          </w:p>
          <w:p>
            <w:pPr>
              <w:spacing w:line="44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82" w:type="dxa"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符合</w:t>
            </w:r>
          </w:p>
          <w:p>
            <w:pPr>
              <w:spacing w:line="44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3687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相关法规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环评报告及环评验收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安评报告及安评验收</w:t>
            </w:r>
          </w:p>
          <w:p>
            <w:pPr>
              <w:pStyle w:val="2"/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执行的排污标准（EMS）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执行的安全法规（OHSMS）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合规性评价报告 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环境相关监测报告（EMS）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职业健康相关监测报告（OHSMS）</w:t>
            </w:r>
          </w:p>
        </w:tc>
        <w:tc>
          <w:tcPr>
            <w:tcW w:w="8862" w:type="dxa"/>
          </w:tcPr>
          <w:p>
            <w:pPr>
              <w:spacing w:line="400" w:lineRule="exact"/>
            </w:pPr>
            <w:r>
              <w:rPr>
                <w:rFonts w:hint="eastAsia"/>
              </w:rPr>
              <w:t>中华人民共和国合同法、中华人民共和国劳动法、中华人民共和国安全消防法、中华人民共和国劳动合同法、</w:t>
            </w:r>
            <w:r>
              <w:t>中华人民共和国产品质量法</w:t>
            </w:r>
            <w:r>
              <w:rPr>
                <w:rFonts w:hint="eastAsia"/>
              </w:rPr>
              <w:t>、中华人民共和国安全生产法、中华人民共和国消费者权益保护法等。</w:t>
            </w: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  <w:r>
              <w:rPr>
                <w:rFonts w:hint="eastAsia"/>
              </w:rPr>
              <w:t>不适应</w:t>
            </w:r>
          </w:p>
          <w:p>
            <w:pPr>
              <w:spacing w:line="400" w:lineRule="exact"/>
            </w:pPr>
          </w:p>
          <w:p>
            <w:pPr>
              <w:widowControl/>
              <w:jc w:val="left"/>
            </w:pPr>
            <w:r>
              <w:rPr>
                <w:rFonts w:hint="eastAsia"/>
              </w:rPr>
              <w:t>不适应</w:t>
            </w:r>
          </w:p>
          <w:p>
            <w:r>
              <w:rPr>
                <w:rFonts w:hint="eastAsia"/>
              </w:rPr>
              <w:t>《污水排入城镇下水道水质标准》（</w:t>
            </w:r>
            <w:r>
              <w:t>GB/T 31962-2015</w:t>
            </w:r>
            <w:r>
              <w:rPr>
                <w:rFonts w:hint="eastAsia"/>
              </w:rPr>
              <w:t>）表1中B级标准。</w:t>
            </w:r>
          </w:p>
          <w:p>
            <w:pPr>
              <w:widowControl/>
              <w:jc w:val="left"/>
            </w:pPr>
          </w:p>
          <w:p>
            <w:pPr>
              <w:spacing w:line="400" w:lineRule="exact"/>
            </w:pPr>
            <w:r>
              <w:rPr>
                <w:rFonts w:hint="eastAsia"/>
              </w:rPr>
              <w:t>中华人民共和国安全消防法、中华人民共和国劳动合同法、中华人民共和国安全生产法等</w:t>
            </w:r>
          </w:p>
          <w:p>
            <w:pPr>
              <w:spacing w:line="400" w:lineRule="exact"/>
            </w:pPr>
          </w:p>
          <w:p>
            <w:pPr>
              <w:spacing w:line="400" w:lineRule="exact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  <w:lang w:val="en-US" w:eastAsia="zh-CN"/>
              </w:rPr>
              <w:t>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25</w:t>
            </w:r>
            <w:r>
              <w:rPr>
                <w:rFonts w:hint="eastAsia"/>
              </w:rPr>
              <w:t>日进行了合规性评价</w:t>
            </w:r>
          </w:p>
          <w:p>
            <w:pPr>
              <w:spacing w:line="400" w:lineRule="exact"/>
            </w:pPr>
          </w:p>
          <w:p>
            <w:pPr>
              <w:spacing w:line="400" w:lineRule="exact"/>
            </w:pPr>
            <w:r>
              <w:rPr>
                <w:rFonts w:hint="eastAsia"/>
              </w:rPr>
              <w:t>无</w:t>
            </w:r>
          </w:p>
          <w:p>
            <w:pPr>
              <w:spacing w:line="400" w:lineRule="exact"/>
            </w:pPr>
          </w:p>
          <w:p>
            <w:pPr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>无</w:t>
            </w:r>
          </w:p>
          <w:p>
            <w:pPr>
              <w:pStyle w:val="2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无</w:t>
            </w:r>
          </w:p>
        </w:tc>
        <w:tc>
          <w:tcPr>
            <w:tcW w:w="1341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E/S6.1.3、9.1.2</w:t>
            </w:r>
          </w:p>
        </w:tc>
        <w:tc>
          <w:tcPr>
            <w:tcW w:w="982" w:type="dxa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符合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3687" w:type="dxa"/>
            <w:vAlign w:val="top"/>
          </w:tcPr>
          <w:p>
            <w:pPr>
              <w:spacing w:line="24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工艺流程</w:t>
            </w:r>
          </w:p>
          <w:p>
            <w:pPr>
              <w:spacing w:line="240" w:lineRule="auto"/>
              <w:rPr>
                <w:rFonts w:ascii="宋体" w:hAnsi="宋体"/>
                <w:szCs w:val="21"/>
              </w:rPr>
            </w:pPr>
          </w:p>
          <w:p>
            <w:pPr>
              <w:spacing w:line="240" w:lineRule="auto"/>
              <w:rPr>
                <w:rFonts w:ascii="宋体" w:hAnsi="宋体"/>
                <w:szCs w:val="21"/>
              </w:rPr>
            </w:pPr>
          </w:p>
          <w:p>
            <w:pPr>
              <w:spacing w:line="24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外包的识别</w:t>
            </w:r>
          </w:p>
          <w:p>
            <w:pPr>
              <w:spacing w:line="240" w:lineRule="auto"/>
              <w:rPr>
                <w:rFonts w:hint="eastAsia" w:ascii="宋体" w:hAnsi="宋体"/>
                <w:szCs w:val="21"/>
              </w:rPr>
            </w:pPr>
          </w:p>
          <w:p>
            <w:pPr>
              <w:spacing w:line="24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重要环境因素（EMS）</w:t>
            </w:r>
          </w:p>
          <w:p>
            <w:pPr>
              <w:spacing w:line="240" w:lineRule="auto"/>
              <w:rPr>
                <w:rFonts w:ascii="宋体" w:hAnsi="宋体"/>
                <w:szCs w:val="21"/>
              </w:rPr>
            </w:pPr>
          </w:p>
          <w:p>
            <w:pPr>
              <w:spacing w:line="24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不可接受风险（OHSMS）</w:t>
            </w:r>
          </w:p>
          <w:p>
            <w:pPr>
              <w:spacing w:line="240" w:lineRule="auto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应急管理</w:t>
            </w:r>
          </w:p>
        </w:tc>
        <w:tc>
          <w:tcPr>
            <w:tcW w:w="8862" w:type="dxa"/>
            <w:vAlign w:val="top"/>
          </w:tcPr>
          <w:p>
            <w:pPr>
              <w:spacing w:line="240" w:lineRule="auto"/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销售流程图:</w:t>
            </w:r>
          </w:p>
          <w:p>
            <w:pPr>
              <w:spacing w:line="240" w:lineRule="auto"/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签订合同→产品采购→产品交付→款项回收→售后维护。</w:t>
            </w:r>
          </w:p>
          <w:p>
            <w:pPr>
              <w:spacing w:line="240" w:lineRule="auto"/>
              <w:rPr>
                <w:rFonts w:hint="eastAsia" w:ascii="Times New Roman" w:hAnsi="Times New Roman" w:eastAsia="宋体" w:cs="Times New Roman"/>
                <w:szCs w:val="21"/>
              </w:rPr>
            </w:pPr>
          </w:p>
          <w:p>
            <w:pPr>
              <w:spacing w:line="240" w:lineRule="auto"/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无</w:t>
            </w:r>
          </w:p>
          <w:p>
            <w:pPr>
              <w:spacing w:line="240" w:lineRule="auto"/>
              <w:rPr>
                <w:rFonts w:hint="eastAsia" w:ascii="Times New Roman" w:hAnsi="Times New Roman" w:eastAsia="宋体" w:cs="Times New Roman"/>
                <w:szCs w:val="21"/>
              </w:rPr>
            </w:pPr>
          </w:p>
          <w:p>
            <w:pPr>
              <w:spacing w:line="240" w:lineRule="auto"/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</w:t>
            </w:r>
            <w:r>
              <w:rPr>
                <w:rFonts w:hint="eastAsia" w:ascii="Times New Roman" w:hAnsi="Times New Roman" w:eastAsia="宋体" w:cs="Times New Roman"/>
                <w:szCs w:val="21"/>
                <w:highlight w:val="none"/>
              </w:rPr>
              <w:t>）</w:t>
            </w:r>
            <w:r>
              <w:rPr>
                <w:rFonts w:hint="eastAsia" w:ascii="Times New Roman" w:hAnsi="Times New Roman" w:eastAsia="宋体" w:cs="Times New Roman"/>
                <w:szCs w:val="22"/>
                <w:highlight w:val="none"/>
                <w:lang w:val="en-US" w:eastAsia="zh-CN"/>
              </w:rPr>
              <w:t>潜在火灾</w:t>
            </w:r>
            <w:r>
              <w:rPr>
                <w:rFonts w:hint="eastAsia" w:ascii="Times New Roman" w:hAnsi="Times New Roman" w:eastAsia="宋体" w:cs="Times New Roman"/>
                <w:szCs w:val="21"/>
                <w:highlight w:val="none"/>
              </w:rPr>
              <w:t>；2）</w:t>
            </w:r>
            <w:r>
              <w:rPr>
                <w:rFonts w:hint="eastAsia" w:ascii="Times New Roman" w:hAnsi="Times New Roman" w:eastAsia="宋体" w:cs="Times New Roman"/>
                <w:szCs w:val="22"/>
                <w:highlight w:val="none"/>
                <w:lang w:val="en-US" w:eastAsia="zh-CN"/>
              </w:rPr>
              <w:t>固废排放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。</w:t>
            </w:r>
          </w:p>
          <w:p>
            <w:pPr>
              <w:spacing w:line="240" w:lineRule="auto"/>
              <w:rPr>
                <w:rFonts w:hint="eastAsia" w:ascii="Times New Roman" w:hAnsi="Times New Roman" w:eastAsia="宋体" w:cs="Times New Roman"/>
                <w:szCs w:val="21"/>
              </w:rPr>
            </w:pPr>
          </w:p>
          <w:p>
            <w:pPr>
              <w:spacing w:line="240" w:lineRule="auto"/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1）</w:t>
            </w:r>
            <w:r>
              <w:rPr>
                <w:rFonts w:hint="eastAsia" w:ascii="Times New Roman" w:hAnsi="Times New Roman" w:eastAsia="宋体" w:cs="Times New Roman"/>
                <w:szCs w:val="22"/>
                <w:highlight w:val="none"/>
                <w:lang w:val="en-US" w:eastAsia="zh-CN"/>
              </w:rPr>
              <w:t>火灾；2）</w:t>
            </w:r>
            <w:r>
              <w:rPr>
                <w:rFonts w:hint="eastAsia" w:ascii="Times New Roman" w:hAnsi="Times New Roman" w:cs="Times New Roman"/>
                <w:szCs w:val="22"/>
                <w:highlight w:val="none"/>
                <w:lang w:val="en-US" w:eastAsia="zh-CN"/>
              </w:rPr>
              <w:t>意外伤害</w:t>
            </w:r>
            <w:r>
              <w:rPr>
                <w:rFonts w:hint="eastAsia" w:ascii="Times New Roman" w:hAnsi="Times New Roman" w:eastAsia="宋体" w:cs="Times New Roman"/>
                <w:szCs w:val="21"/>
                <w:highlight w:val="none"/>
              </w:rPr>
              <w:t>。</w:t>
            </w:r>
          </w:p>
          <w:p>
            <w:pPr>
              <w:spacing w:line="240" w:lineRule="auto"/>
              <w:rPr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公司拟定有《消防应急预案》</w:t>
            </w:r>
            <w:r>
              <w:rPr>
                <w:rFonts w:hint="eastAsia" w:ascii="Times New Roman" w:hAnsi="Times New Roman" w:eastAsia="宋体" w:cs="Times New Roman"/>
                <w:szCs w:val="21"/>
                <w:highlight w:val="none"/>
              </w:rPr>
              <w:t>，20</w:t>
            </w:r>
            <w:r>
              <w:rPr>
                <w:rFonts w:hint="eastAsia" w:ascii="Times New Roman" w:hAnsi="Times New Roman" w:eastAsia="宋体" w:cs="Times New Roman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cs="Times New Roman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宋体" w:cs="Times New Roman"/>
                <w:szCs w:val="21"/>
                <w:highlight w:val="none"/>
              </w:rPr>
              <w:t>年</w:t>
            </w:r>
            <w:r>
              <w:rPr>
                <w:rFonts w:hint="eastAsia" w:cs="Times New Roman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宋体" w:cs="Times New Roman"/>
                <w:szCs w:val="21"/>
                <w:highlight w:val="none"/>
              </w:rPr>
              <w:t>月</w:t>
            </w:r>
            <w:r>
              <w:rPr>
                <w:rFonts w:hint="eastAsia" w:ascii="Times New Roman" w:hAnsi="Times New Roman" w:eastAsia="宋体" w:cs="Times New Roman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cs="Times New Roman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宋体" w:cs="Times New Roman"/>
                <w:szCs w:val="21"/>
                <w:highlight w:val="none"/>
              </w:rPr>
              <w:t>日进行了火灾应急预案演练。</w:t>
            </w:r>
          </w:p>
        </w:tc>
        <w:tc>
          <w:tcPr>
            <w:tcW w:w="1341" w:type="dxa"/>
            <w:vAlign w:val="top"/>
          </w:tcPr>
          <w:p>
            <w:pPr>
              <w:spacing w:line="440" w:lineRule="exact"/>
              <w:jc w:val="left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E/S8.1、8.2、6.1.2</w:t>
            </w:r>
          </w:p>
        </w:tc>
        <w:tc>
          <w:tcPr>
            <w:tcW w:w="982" w:type="dxa"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3687" w:type="dxa"/>
          </w:tcPr>
          <w:p>
            <w:pPr>
              <w:spacing w:line="400" w:lineRule="exact"/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  <w:u w:val="single"/>
              </w:rPr>
              <w:t>员工人数</w:t>
            </w:r>
          </w:p>
          <w:p>
            <w:pPr>
              <w:spacing w:line="400" w:lineRule="exact"/>
              <w:rPr>
                <w:rFonts w:ascii="宋体" w:hAnsi="宋体"/>
                <w:szCs w:val="21"/>
                <w:u w:val="single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关键岗位持证上岗人员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特殊工种人员</w:t>
            </w:r>
          </w:p>
        </w:tc>
        <w:tc>
          <w:tcPr>
            <w:tcW w:w="8862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37</w:t>
            </w:r>
            <w:r>
              <w:rPr>
                <w:rFonts w:hint="eastAsia" w:ascii="宋体" w:hAnsi="宋体"/>
                <w:szCs w:val="21"/>
              </w:rPr>
              <w:t>人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bookmarkStart w:id="3" w:name="_GoBack"/>
            <w:bookmarkEnd w:id="3"/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销售人员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  <w:tc>
          <w:tcPr>
            <w:tcW w:w="1341" w:type="dxa"/>
            <w:vAlign w:val="top"/>
          </w:tcPr>
          <w:p>
            <w:pPr>
              <w:spacing w:line="440" w:lineRule="exact"/>
              <w:jc w:val="left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E/S：7.2</w:t>
            </w:r>
          </w:p>
        </w:tc>
        <w:tc>
          <w:tcPr>
            <w:tcW w:w="982" w:type="dxa"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3687" w:type="dxa"/>
            <w:vAlign w:val="top"/>
          </w:tcPr>
          <w:p>
            <w:pPr>
              <w:spacing w:line="400" w:lineRule="exact"/>
              <w:rPr>
                <w:rFonts w:hint="eastAsia"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主要生产设备</w:t>
            </w:r>
          </w:p>
          <w:p>
            <w:pPr>
              <w:spacing w:line="400" w:lineRule="exact"/>
              <w:rPr>
                <w:rFonts w:hint="eastAsia" w:ascii="宋体" w:hAnsi="宋体"/>
                <w:szCs w:val="21"/>
                <w:highlight w:val="none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szCs w:val="21"/>
                <w:highlight w:val="none"/>
                <w:lang w:eastAsia="zh-CN"/>
              </w:rPr>
              <w:t>库房</w:t>
            </w:r>
          </w:p>
          <w:p>
            <w:pPr>
              <w:spacing w:line="400" w:lineRule="exact"/>
              <w:rPr>
                <w:rFonts w:hint="eastAsia" w:ascii="宋体" w:hAnsi="宋体"/>
                <w:szCs w:val="21"/>
                <w:highlight w:val="none"/>
                <w:lang w:eastAsia="zh-CN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特种设备</w:t>
            </w:r>
          </w:p>
          <w:p>
            <w:pPr>
              <w:spacing w:line="400" w:lineRule="exac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环保设施（EMS）</w:t>
            </w:r>
          </w:p>
          <w:p>
            <w:pPr>
              <w:spacing w:line="400" w:lineRule="exac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安全设施（OHSMS）</w:t>
            </w:r>
          </w:p>
          <w:p>
            <w:pPr>
              <w:spacing w:line="400" w:lineRule="exact"/>
              <w:rPr>
                <w:rFonts w:ascii="宋体" w:hAnsi="宋体"/>
                <w:szCs w:val="21"/>
                <w:highlight w:val="none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环保监测设备（EMS）</w:t>
            </w:r>
          </w:p>
          <w:p>
            <w:pPr>
              <w:spacing w:line="400" w:lineRule="exac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安全监测设备（OHSMS）</w:t>
            </w:r>
          </w:p>
        </w:tc>
        <w:tc>
          <w:tcPr>
            <w:tcW w:w="8862" w:type="dxa"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电脑及办公设备（含传真机、打印机等）和空调等。</w:t>
            </w:r>
          </w:p>
          <w:p>
            <w:pPr>
              <w:spacing w:line="400" w:lineRule="exact"/>
              <w:rPr>
                <w:szCs w:val="21"/>
                <w:highlight w:val="none"/>
              </w:rPr>
            </w:pPr>
          </w:p>
          <w:p>
            <w:pPr>
              <w:spacing w:line="400" w:lineRule="exact"/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eastAsia="zh-CN"/>
              </w:rPr>
              <w:t>设有</w:t>
            </w:r>
            <w:r>
              <w:rPr>
                <w:rFonts w:hint="eastAsia"/>
                <w:szCs w:val="21"/>
                <w:highlight w:val="none"/>
                <w:lang w:val="en-US" w:eastAsia="zh-CN"/>
              </w:rPr>
              <w:t>500平方米库房，产品装卸使用</w:t>
            </w: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人工</w:t>
            </w:r>
            <w:r>
              <w:rPr>
                <w:rFonts w:hint="eastAsia"/>
                <w:szCs w:val="21"/>
                <w:highlight w:val="none"/>
                <w:lang w:val="en-US" w:eastAsia="zh-CN"/>
              </w:rPr>
              <w:t>作业。</w:t>
            </w:r>
          </w:p>
          <w:p>
            <w:pPr>
              <w:spacing w:line="400" w:lineRule="exact"/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</w:pPr>
          </w:p>
          <w:p>
            <w:pPr>
              <w:spacing w:line="400" w:lineRule="exact"/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无</w:t>
            </w:r>
            <w:r>
              <w:rPr>
                <w:rFonts w:hint="eastAsia"/>
                <w:szCs w:val="21"/>
                <w:highlight w:val="none"/>
                <w:lang w:val="en-US" w:eastAsia="zh-CN"/>
              </w:rPr>
              <w:t>。</w:t>
            </w:r>
          </w:p>
          <w:p>
            <w:pPr>
              <w:spacing w:line="400" w:lineRule="exact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消防栓、灭火器等。</w:t>
            </w:r>
          </w:p>
          <w:p>
            <w:pPr>
              <w:spacing w:line="400" w:lineRule="exact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配电箱、空开等</w:t>
            </w:r>
          </w:p>
          <w:p>
            <w:pPr>
              <w:spacing w:line="400" w:lineRule="exact"/>
              <w:rPr>
                <w:rFonts w:ascii="宋体" w:hAnsi="宋体"/>
                <w:szCs w:val="21"/>
                <w:highlight w:val="none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无</w:t>
            </w:r>
          </w:p>
          <w:p>
            <w:pPr>
              <w:spacing w:line="400" w:lineRule="exac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无。</w:t>
            </w:r>
          </w:p>
        </w:tc>
        <w:tc>
          <w:tcPr>
            <w:tcW w:w="1341" w:type="dxa"/>
            <w:vAlign w:val="top"/>
          </w:tcPr>
          <w:p>
            <w:pPr>
              <w:spacing w:line="440" w:lineRule="exact"/>
              <w:jc w:val="left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E/S：7:1</w:t>
            </w:r>
          </w:p>
        </w:tc>
        <w:tc>
          <w:tcPr>
            <w:tcW w:w="982" w:type="dxa"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3687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周边环境（EMS）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场区布局（一级风险）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排污口及排污管网（一级风险）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关注动力装置场所、危险化学品仓库、固废堆放场所</w:t>
            </w:r>
          </w:p>
        </w:tc>
        <w:tc>
          <w:tcPr>
            <w:tcW w:w="8862" w:type="dxa"/>
          </w:tcPr>
          <w:p>
            <w:pPr>
              <w:spacing w:line="400" w:lineRule="exac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农村工业用地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41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82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3687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高处作业、高粉尘作业、机械加工、压力容器操作、有毒化学品车间、危险化学品仓库和储存罐区等高风险作业场所</w:t>
            </w:r>
          </w:p>
        </w:tc>
        <w:tc>
          <w:tcPr>
            <w:tcW w:w="8862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无高风险作业场所</w:t>
            </w:r>
          </w:p>
        </w:tc>
        <w:tc>
          <w:tcPr>
            <w:tcW w:w="1341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82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3687" w:type="dxa"/>
            <w:vAlign w:val="top"/>
          </w:tcPr>
          <w:p>
            <w:pPr>
              <w:spacing w:line="400" w:lineRule="exact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顾客及相关方投诉</w:t>
            </w:r>
          </w:p>
        </w:tc>
        <w:tc>
          <w:tcPr>
            <w:tcW w:w="8862" w:type="dxa"/>
            <w:vAlign w:val="top"/>
          </w:tcPr>
          <w:p>
            <w:pPr>
              <w:spacing w:line="400" w:lineRule="exact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暂无</w:t>
            </w:r>
          </w:p>
        </w:tc>
        <w:tc>
          <w:tcPr>
            <w:tcW w:w="1341" w:type="dxa"/>
            <w:vAlign w:val="top"/>
          </w:tcPr>
          <w:p>
            <w:pPr>
              <w:spacing w:line="44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82" w:type="dxa"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3687" w:type="dxa"/>
            <w:vAlign w:val="top"/>
          </w:tcPr>
          <w:p>
            <w:pPr>
              <w:adjustRightInd w:val="0"/>
              <w:spacing w:line="400" w:lineRule="exact"/>
              <w:textAlignment w:val="baseline"/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  <w:t>是否具备二阶段审核结论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adjustRightInd w:val="0"/>
              <w:spacing w:line="400" w:lineRule="exact"/>
              <w:textAlignment w:val="baseline"/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adjustRightInd w:val="0"/>
              <w:spacing w:line="400" w:lineRule="exact"/>
              <w:textAlignment w:val="baseline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  <w:t>第二阶段重要审核点等相关内容</w:t>
            </w:r>
          </w:p>
        </w:tc>
        <w:tc>
          <w:tcPr>
            <w:tcW w:w="8862" w:type="dxa"/>
            <w:vAlign w:val="top"/>
          </w:tcPr>
          <w:p>
            <w:pPr>
              <w:adjustRightInd w:val="0"/>
              <w:snapToGrid w:val="0"/>
              <w:rPr>
                <w:rFonts w:hint="eastAsia" w:ascii="宋体" w:hAnsi="宋体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Cs w:val="21"/>
                <w:highlight w:val="none"/>
                <w:lang w:val="en-US" w:eastAsia="zh-CN"/>
              </w:rPr>
              <w:t>通过一阶段对受审核方的办公场所巡视和观察，对管理体系绩效要求有重大影响的过程、活动、场所和现场运行进行观察、巡视及总体性评价，组织具备二阶段审核条件，可进行二阶段审核。</w:t>
            </w:r>
          </w:p>
          <w:p>
            <w:pPr>
              <w:adjustRightInd w:val="0"/>
              <w:snapToGrid w:val="0"/>
              <w:rPr>
                <w:rFonts w:hint="eastAsia" w:ascii="宋体" w:hAnsi="宋体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Cs w:val="21"/>
                <w:highlight w:val="none"/>
                <w:lang w:val="en-US" w:eastAsia="zh-CN"/>
              </w:rPr>
              <w:t>二阶段环境、职业健康安全管理体系宜重点关注（销售产品和销售环节对环境影响和人员职业健康安全的保护等）</w:t>
            </w:r>
          </w:p>
          <w:p>
            <w:pPr>
              <w:adjustRightInd w:val="0"/>
              <w:snapToGrid w:val="0"/>
              <w:rPr>
                <w:rFonts w:hint="eastAsia" w:ascii="宋体" w:hAnsi="宋体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Cs w:val="21"/>
                <w:highlight w:val="none"/>
                <w:lang w:val="en-US" w:eastAsia="zh-CN"/>
              </w:rPr>
              <w:t>重点审核部门：行政部、供销部。</w:t>
            </w:r>
          </w:p>
          <w:p>
            <w:pPr>
              <w:adjustRightInd w:val="0"/>
              <w:snapToGrid w:val="0"/>
              <w:rPr>
                <w:rFonts w:hint="eastAsia" w:ascii="宋体" w:hAnsi="宋体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Cs w:val="21"/>
                <w:highlight w:val="none"/>
                <w:lang w:val="en-US" w:eastAsia="zh-CN"/>
              </w:rPr>
              <w:t>重点审核过程：合同评审、顾客满意；产品和服务放行等。</w:t>
            </w:r>
          </w:p>
          <w:p>
            <w:pPr>
              <w:adjustRightInd w:val="0"/>
              <w:snapToGrid w:val="0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auto"/>
                <w:szCs w:val="21"/>
                <w:highlight w:val="none"/>
                <w:lang w:val="en-US" w:eastAsia="zh-CN"/>
              </w:rPr>
              <w:t>重点审核场所：办公场所。</w:t>
            </w:r>
          </w:p>
        </w:tc>
        <w:tc>
          <w:tcPr>
            <w:tcW w:w="1341" w:type="dxa"/>
            <w:vAlign w:val="top"/>
          </w:tcPr>
          <w:p>
            <w:pPr>
              <w:spacing w:line="44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82" w:type="dxa"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</w:tbl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</w:p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</w:p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</w:p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</w:p>
    <w:p>
      <w:r>
        <w:ptab w:relativeTo="margin" w:alignment="center" w:leader="none"/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6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3"/>
        <w:rFonts w:hint="default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7"/>
      <w:pBdr>
        <w:bottom w:val="none" w:color="auto" w:sz="0" w:space="1"/>
      </w:pBdr>
      <w:spacing w:line="320" w:lineRule="exact"/>
      <w:ind w:firstLine="720" w:firstLineChars="400"/>
      <w:jc w:val="left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10160" b="254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823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</w:t>
                          </w:r>
                          <w:r>
                            <w:rPr>
                              <w:sz w:val="18"/>
                              <w:szCs w:val="18"/>
                            </w:rPr>
                            <w:t>13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管理体系审核记录表(03版)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72pt;z-index:251660288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CEGquXWAAAACgEAAA8AAAAAAAAAAQAgAAAAIgAA&#10;AGRycy9kb3ducmV2LnhtbFBLAQIUABQAAAAIAIdO4kAF8Pky0QEAAI4DAAAOAAAAAAAAAAEAIAAA&#10;ACUBAABkcnMvZTJvRG9jLnhtbFBLBQYAAAAABgAGAFkBAABo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</w:t>
                    </w:r>
                    <w:r>
                      <w:rPr>
                        <w:sz w:val="18"/>
                        <w:szCs w:val="18"/>
                      </w:rPr>
                      <w:t>13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管理体系审核记录表(03版)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13"/>
        <w:rFonts w:hint="default"/>
        <w:w w:val="90"/>
      </w:rPr>
      <w:t>Beijing International Standard united Certification Co.,Ltd.</w:t>
    </w:r>
  </w:p>
  <w:p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3B4"/>
    <w:rsid w:val="00026E21"/>
    <w:rsid w:val="0003373A"/>
    <w:rsid w:val="0003666F"/>
    <w:rsid w:val="00084386"/>
    <w:rsid w:val="000C0711"/>
    <w:rsid w:val="00105A91"/>
    <w:rsid w:val="001A2D7F"/>
    <w:rsid w:val="001F5FC8"/>
    <w:rsid w:val="002460A4"/>
    <w:rsid w:val="002B6B8C"/>
    <w:rsid w:val="002C6D5E"/>
    <w:rsid w:val="00337922"/>
    <w:rsid w:val="00340867"/>
    <w:rsid w:val="00380837"/>
    <w:rsid w:val="00391186"/>
    <w:rsid w:val="0039337B"/>
    <w:rsid w:val="003B2665"/>
    <w:rsid w:val="003C6DA1"/>
    <w:rsid w:val="003D0050"/>
    <w:rsid w:val="003E4918"/>
    <w:rsid w:val="003F3AF2"/>
    <w:rsid w:val="00405E02"/>
    <w:rsid w:val="00407627"/>
    <w:rsid w:val="00410914"/>
    <w:rsid w:val="004814B4"/>
    <w:rsid w:val="004E2167"/>
    <w:rsid w:val="00536930"/>
    <w:rsid w:val="00564E53"/>
    <w:rsid w:val="005F08EC"/>
    <w:rsid w:val="00603BE2"/>
    <w:rsid w:val="00624BCF"/>
    <w:rsid w:val="00631E3F"/>
    <w:rsid w:val="00644FE2"/>
    <w:rsid w:val="0067640C"/>
    <w:rsid w:val="006C3C06"/>
    <w:rsid w:val="006E678B"/>
    <w:rsid w:val="006F08B1"/>
    <w:rsid w:val="007345CC"/>
    <w:rsid w:val="0075447B"/>
    <w:rsid w:val="007757F3"/>
    <w:rsid w:val="007851D6"/>
    <w:rsid w:val="007D1240"/>
    <w:rsid w:val="007E1C3A"/>
    <w:rsid w:val="007E6AEB"/>
    <w:rsid w:val="00824194"/>
    <w:rsid w:val="00871C15"/>
    <w:rsid w:val="008973EE"/>
    <w:rsid w:val="008C7D6A"/>
    <w:rsid w:val="008D6159"/>
    <w:rsid w:val="00962F40"/>
    <w:rsid w:val="00971600"/>
    <w:rsid w:val="009973B4"/>
    <w:rsid w:val="009A3B9B"/>
    <w:rsid w:val="009F7EED"/>
    <w:rsid w:val="00A255F8"/>
    <w:rsid w:val="00A608A8"/>
    <w:rsid w:val="00AA60F8"/>
    <w:rsid w:val="00AB0AAF"/>
    <w:rsid w:val="00AC3A96"/>
    <w:rsid w:val="00AE222A"/>
    <w:rsid w:val="00AF0AAB"/>
    <w:rsid w:val="00B258C1"/>
    <w:rsid w:val="00B2778C"/>
    <w:rsid w:val="00B40DF4"/>
    <w:rsid w:val="00BA70EA"/>
    <w:rsid w:val="00BC384E"/>
    <w:rsid w:val="00BF597E"/>
    <w:rsid w:val="00C51A36"/>
    <w:rsid w:val="00C55228"/>
    <w:rsid w:val="00C601C1"/>
    <w:rsid w:val="00CE315A"/>
    <w:rsid w:val="00D06F59"/>
    <w:rsid w:val="00D8388C"/>
    <w:rsid w:val="00D93A54"/>
    <w:rsid w:val="00E250F2"/>
    <w:rsid w:val="00E30B07"/>
    <w:rsid w:val="00E74966"/>
    <w:rsid w:val="00EB0164"/>
    <w:rsid w:val="00ED0F62"/>
    <w:rsid w:val="00F71ED3"/>
    <w:rsid w:val="00F86205"/>
    <w:rsid w:val="00F92A10"/>
    <w:rsid w:val="00FD77A8"/>
    <w:rsid w:val="01FD2F8F"/>
    <w:rsid w:val="02880E4E"/>
    <w:rsid w:val="02914DB0"/>
    <w:rsid w:val="02C268A7"/>
    <w:rsid w:val="02FE79AF"/>
    <w:rsid w:val="03C03F77"/>
    <w:rsid w:val="03F6398B"/>
    <w:rsid w:val="078422DA"/>
    <w:rsid w:val="086F5610"/>
    <w:rsid w:val="08A46BAD"/>
    <w:rsid w:val="09B92F09"/>
    <w:rsid w:val="09F945D6"/>
    <w:rsid w:val="0A122492"/>
    <w:rsid w:val="0AA54F4C"/>
    <w:rsid w:val="0BD53640"/>
    <w:rsid w:val="0CE24FBA"/>
    <w:rsid w:val="0CF13D82"/>
    <w:rsid w:val="0D1C33EC"/>
    <w:rsid w:val="0D714F8D"/>
    <w:rsid w:val="0E25209A"/>
    <w:rsid w:val="0E4038B6"/>
    <w:rsid w:val="0F083958"/>
    <w:rsid w:val="0FB223B2"/>
    <w:rsid w:val="107519AD"/>
    <w:rsid w:val="108219C2"/>
    <w:rsid w:val="10B15952"/>
    <w:rsid w:val="10BA3FA3"/>
    <w:rsid w:val="10C94B9D"/>
    <w:rsid w:val="13184D41"/>
    <w:rsid w:val="132D5537"/>
    <w:rsid w:val="13F86CC6"/>
    <w:rsid w:val="14845540"/>
    <w:rsid w:val="14DB0526"/>
    <w:rsid w:val="173A44ED"/>
    <w:rsid w:val="18F3496B"/>
    <w:rsid w:val="194E5460"/>
    <w:rsid w:val="19C315EE"/>
    <w:rsid w:val="1A3165D0"/>
    <w:rsid w:val="1ADB1E14"/>
    <w:rsid w:val="1B0A383C"/>
    <w:rsid w:val="1B883AC7"/>
    <w:rsid w:val="1C6973E4"/>
    <w:rsid w:val="1C9555C2"/>
    <w:rsid w:val="1D5C04E8"/>
    <w:rsid w:val="1F420E47"/>
    <w:rsid w:val="1F4A6CA3"/>
    <w:rsid w:val="20205300"/>
    <w:rsid w:val="20741E17"/>
    <w:rsid w:val="23CF173A"/>
    <w:rsid w:val="247567D5"/>
    <w:rsid w:val="2699614F"/>
    <w:rsid w:val="26DB23EF"/>
    <w:rsid w:val="27845C79"/>
    <w:rsid w:val="27912CE0"/>
    <w:rsid w:val="27B82279"/>
    <w:rsid w:val="27FE25B6"/>
    <w:rsid w:val="284A3DE3"/>
    <w:rsid w:val="28575566"/>
    <w:rsid w:val="285C040E"/>
    <w:rsid w:val="288A6EBF"/>
    <w:rsid w:val="28951D8D"/>
    <w:rsid w:val="291742A9"/>
    <w:rsid w:val="2A4F7506"/>
    <w:rsid w:val="2AE23791"/>
    <w:rsid w:val="2D453746"/>
    <w:rsid w:val="2D89725D"/>
    <w:rsid w:val="2E337362"/>
    <w:rsid w:val="2E4F0048"/>
    <w:rsid w:val="2E8F3862"/>
    <w:rsid w:val="2ECF72A4"/>
    <w:rsid w:val="2EF57FB6"/>
    <w:rsid w:val="2F09530F"/>
    <w:rsid w:val="31550098"/>
    <w:rsid w:val="32AF550F"/>
    <w:rsid w:val="32E72F3A"/>
    <w:rsid w:val="32F340D2"/>
    <w:rsid w:val="33304668"/>
    <w:rsid w:val="33EE5BC9"/>
    <w:rsid w:val="34071B60"/>
    <w:rsid w:val="346041F3"/>
    <w:rsid w:val="348A1928"/>
    <w:rsid w:val="34B3178E"/>
    <w:rsid w:val="34FB51F4"/>
    <w:rsid w:val="350E46E6"/>
    <w:rsid w:val="35424DD4"/>
    <w:rsid w:val="36513486"/>
    <w:rsid w:val="36BA30AC"/>
    <w:rsid w:val="36EF03C4"/>
    <w:rsid w:val="37F37F6B"/>
    <w:rsid w:val="3A0069CD"/>
    <w:rsid w:val="3C4305A7"/>
    <w:rsid w:val="3CFE2C36"/>
    <w:rsid w:val="3D31019E"/>
    <w:rsid w:val="3DD61C5E"/>
    <w:rsid w:val="3E4A2DC0"/>
    <w:rsid w:val="3E710DD7"/>
    <w:rsid w:val="3F0653EB"/>
    <w:rsid w:val="3F480834"/>
    <w:rsid w:val="3F60400C"/>
    <w:rsid w:val="413661E7"/>
    <w:rsid w:val="42A55529"/>
    <w:rsid w:val="434A3A70"/>
    <w:rsid w:val="434F5847"/>
    <w:rsid w:val="4389789A"/>
    <w:rsid w:val="438E028A"/>
    <w:rsid w:val="43CC2255"/>
    <w:rsid w:val="45517238"/>
    <w:rsid w:val="4564559E"/>
    <w:rsid w:val="459668DE"/>
    <w:rsid w:val="45DA5BCB"/>
    <w:rsid w:val="45F23538"/>
    <w:rsid w:val="45FB3497"/>
    <w:rsid w:val="470432A0"/>
    <w:rsid w:val="474A0EE4"/>
    <w:rsid w:val="49874987"/>
    <w:rsid w:val="49B85AD4"/>
    <w:rsid w:val="49FF500E"/>
    <w:rsid w:val="4A090ABD"/>
    <w:rsid w:val="4C02538B"/>
    <w:rsid w:val="4C4704A4"/>
    <w:rsid w:val="4C661386"/>
    <w:rsid w:val="4CEF53E5"/>
    <w:rsid w:val="4EBA1767"/>
    <w:rsid w:val="50766997"/>
    <w:rsid w:val="50CE7C08"/>
    <w:rsid w:val="52CA5724"/>
    <w:rsid w:val="52FF5CF2"/>
    <w:rsid w:val="536F1793"/>
    <w:rsid w:val="53E11F8E"/>
    <w:rsid w:val="556B0343"/>
    <w:rsid w:val="55B42C0A"/>
    <w:rsid w:val="56026263"/>
    <w:rsid w:val="56E9489D"/>
    <w:rsid w:val="5744437D"/>
    <w:rsid w:val="574E1C45"/>
    <w:rsid w:val="5764045D"/>
    <w:rsid w:val="578223C6"/>
    <w:rsid w:val="57AF6A32"/>
    <w:rsid w:val="593E1911"/>
    <w:rsid w:val="59BB58D0"/>
    <w:rsid w:val="59DF4FDA"/>
    <w:rsid w:val="5ACB5424"/>
    <w:rsid w:val="5B410F90"/>
    <w:rsid w:val="5BBF79FD"/>
    <w:rsid w:val="5BEE76B0"/>
    <w:rsid w:val="5C212B36"/>
    <w:rsid w:val="5C7610FE"/>
    <w:rsid w:val="5CE93D4A"/>
    <w:rsid w:val="5D9E22BE"/>
    <w:rsid w:val="5DA63035"/>
    <w:rsid w:val="5DB35F88"/>
    <w:rsid w:val="5DD9588B"/>
    <w:rsid w:val="5DD95D6A"/>
    <w:rsid w:val="5DE618CE"/>
    <w:rsid w:val="5E1607A5"/>
    <w:rsid w:val="5E25560A"/>
    <w:rsid w:val="5EA12B9A"/>
    <w:rsid w:val="5EB30D04"/>
    <w:rsid w:val="6016437E"/>
    <w:rsid w:val="60510DC9"/>
    <w:rsid w:val="60C11730"/>
    <w:rsid w:val="60D73480"/>
    <w:rsid w:val="610B77DC"/>
    <w:rsid w:val="618F7DA1"/>
    <w:rsid w:val="61BB584A"/>
    <w:rsid w:val="629042E0"/>
    <w:rsid w:val="630228D7"/>
    <w:rsid w:val="65922A06"/>
    <w:rsid w:val="65C31127"/>
    <w:rsid w:val="66477A0A"/>
    <w:rsid w:val="66780237"/>
    <w:rsid w:val="67127677"/>
    <w:rsid w:val="672126BF"/>
    <w:rsid w:val="67293151"/>
    <w:rsid w:val="68A13467"/>
    <w:rsid w:val="69EC0103"/>
    <w:rsid w:val="6A6D5548"/>
    <w:rsid w:val="6ADD3162"/>
    <w:rsid w:val="6B2A3D7C"/>
    <w:rsid w:val="6C632AC8"/>
    <w:rsid w:val="6D394630"/>
    <w:rsid w:val="6DE04217"/>
    <w:rsid w:val="6E4C7F64"/>
    <w:rsid w:val="6EFB5A49"/>
    <w:rsid w:val="708F5CE8"/>
    <w:rsid w:val="70B87701"/>
    <w:rsid w:val="71132C45"/>
    <w:rsid w:val="71764239"/>
    <w:rsid w:val="718965A6"/>
    <w:rsid w:val="718E17BF"/>
    <w:rsid w:val="722B4BCB"/>
    <w:rsid w:val="74E1215C"/>
    <w:rsid w:val="751A1721"/>
    <w:rsid w:val="76EC4380"/>
    <w:rsid w:val="77393AAD"/>
    <w:rsid w:val="777D19F5"/>
    <w:rsid w:val="77B86625"/>
    <w:rsid w:val="77CB0585"/>
    <w:rsid w:val="78AA2262"/>
    <w:rsid w:val="78B26451"/>
    <w:rsid w:val="7A144B62"/>
    <w:rsid w:val="7A276EE1"/>
    <w:rsid w:val="7B53416D"/>
    <w:rsid w:val="7B5F4C16"/>
    <w:rsid w:val="7B7527B7"/>
    <w:rsid w:val="7C0D225F"/>
    <w:rsid w:val="7CDF6DCF"/>
    <w:rsid w:val="7D5151E7"/>
    <w:rsid w:val="7E377C65"/>
    <w:rsid w:val="7F46267F"/>
    <w:rsid w:val="7F79746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宋体" w:hAnsi="宋体" w:eastAsia="宋体" w:cs="Times New Roman"/>
      <w:color w:val="000000"/>
      <w:sz w:val="24"/>
      <w:lang w:val="en-US" w:eastAsia="zh-CN" w:bidi="ar-SA"/>
    </w:rPr>
  </w:style>
  <w:style w:type="paragraph" w:styleId="3">
    <w:name w:val="Body Text"/>
    <w:basedOn w:val="1"/>
    <w:qFormat/>
    <w:uiPriority w:val="1"/>
    <w:pPr>
      <w:spacing w:line="251" w:lineRule="exact"/>
      <w:ind w:left="20"/>
    </w:pPr>
    <w:rPr>
      <w:rFonts w:ascii="宋体" w:hAnsi="宋体" w:eastAsia="宋体" w:cs="宋体"/>
      <w:sz w:val="21"/>
      <w:szCs w:val="21"/>
      <w:lang w:val="zh-CN" w:eastAsia="zh-CN" w:bidi="zh-CN"/>
    </w:rPr>
  </w:style>
  <w:style w:type="paragraph" w:styleId="4">
    <w:name w:val="Plain Text"/>
    <w:basedOn w:val="1"/>
    <w:qFormat/>
    <w:uiPriority w:val="99"/>
    <w:rPr>
      <w:rFonts w:ascii="宋体" w:hAnsi="Courier New"/>
    </w:rPr>
  </w:style>
  <w:style w:type="paragraph" w:styleId="5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Char"/>
    <w:basedOn w:val="9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314</Words>
  <Characters>1794</Characters>
  <Lines>14</Lines>
  <Paragraphs>4</Paragraphs>
  <TotalTime>22</TotalTime>
  <ScaleCrop>false</ScaleCrop>
  <LinksUpToDate>false</LinksUpToDate>
  <CharactersWithSpaces>2104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way一直都在</cp:lastModifiedBy>
  <dcterms:modified xsi:type="dcterms:W3CDTF">2021-06-03T03:53:54Z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6C426D2824AE46EE910EDBC3FB3E9C9B</vt:lpwstr>
  </property>
</Properties>
</file>